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79" w:rsidRPr="00B0701F" w:rsidRDefault="009F036C" w:rsidP="00B0701F">
      <w:pPr>
        <w:spacing w:before="2280"/>
      </w:pPr>
      <w:sdt>
        <w:sdtPr>
          <w:id w:val="779143221"/>
          <w:docPartObj>
            <w:docPartGallery w:val="Cover Pages"/>
            <w:docPartUnique/>
          </w:docPartObj>
        </w:sdtPr>
        <w:sdtEndPr>
          <w:rPr>
            <w:rFonts w:cs="Arial"/>
          </w:rPr>
        </w:sdtEndPr>
        <w:sdtContent>
          <w:r w:rsidR="00E54C79" w:rsidRPr="00C86BCF">
            <w:rPr>
              <w:rFonts w:cs="Arial"/>
              <w:sz w:val="56"/>
              <w:szCs w:val="56"/>
            </w:rPr>
            <w:t>PLAN  NADZORU  PEDAGOGICZNEGO</w:t>
          </w:r>
          <w:r w:rsidR="00072033">
            <w:rPr>
              <w:rFonts w:cs="Arial"/>
              <w:sz w:val="56"/>
              <w:szCs w:val="56"/>
            </w:rPr>
            <w:t xml:space="preserve"> </w:t>
          </w:r>
          <w:r w:rsidR="00E54C79" w:rsidRPr="00C86BCF">
            <w:rPr>
              <w:rFonts w:cs="Arial"/>
              <w:sz w:val="56"/>
              <w:szCs w:val="56"/>
            </w:rPr>
            <w:t>ŁÓDZKIEGO  KURATORA OŚWIAT</w:t>
          </w:r>
          <w:r w:rsidR="00E54C79">
            <w:rPr>
              <w:rFonts w:cs="Arial"/>
              <w:sz w:val="56"/>
              <w:szCs w:val="56"/>
            </w:rPr>
            <w:t>Y</w:t>
          </w:r>
          <w:r w:rsidR="00072033">
            <w:rPr>
              <w:rFonts w:cs="Arial"/>
              <w:sz w:val="56"/>
              <w:szCs w:val="56"/>
            </w:rPr>
            <w:t xml:space="preserve"> </w:t>
          </w:r>
          <w:r w:rsidR="00E54C79" w:rsidRPr="00C86BCF">
            <w:rPr>
              <w:rFonts w:cs="Arial"/>
              <w:sz w:val="56"/>
              <w:szCs w:val="56"/>
            </w:rPr>
            <w:t>NA ROK SZKOLNY 2023/2024</w:t>
          </w:r>
          <w:r w:rsidR="00E54C79" w:rsidRPr="00C86BCF">
            <w:rPr>
              <w:rFonts w:cs="Arial"/>
            </w:rPr>
            <w:br w:type="page"/>
          </w:r>
        </w:sdtContent>
      </w:sdt>
      <w:r w:rsidR="00E54C79" w:rsidRPr="00C86BCF">
        <w:rPr>
          <w:rFonts w:cs="Arial"/>
          <w:sz w:val="28"/>
          <w:szCs w:val="28"/>
        </w:rPr>
        <w:t>Podstawa planowania zadań na rok szkolny 2023/2024:</w:t>
      </w:r>
    </w:p>
    <w:p w:rsidR="00E54C79" w:rsidRPr="0078165D" w:rsidRDefault="00E54C79" w:rsidP="00E54C79">
      <w:pPr>
        <w:pStyle w:val="Akapitzlist"/>
        <w:numPr>
          <w:ilvl w:val="1"/>
          <w:numId w:val="1"/>
        </w:numPr>
        <w:spacing w:line="276" w:lineRule="auto"/>
        <w:ind w:left="426" w:hanging="426"/>
        <w:rPr>
          <w:rFonts w:cs="Arial"/>
          <w:szCs w:val="24"/>
        </w:rPr>
      </w:pPr>
      <w:r w:rsidRPr="0078165D">
        <w:rPr>
          <w:rStyle w:val="markedcontent"/>
          <w:rFonts w:cs="Arial"/>
          <w:szCs w:val="24"/>
        </w:rPr>
        <w:t>§ 20 rozporządzenia Ministra Edukacji i Nauki z dnia 25 sierpnia 2017 roku w sprawie</w:t>
      </w:r>
      <w:r>
        <w:rPr>
          <w:rStyle w:val="markedcontent"/>
          <w:rFonts w:cs="Arial"/>
          <w:szCs w:val="24"/>
        </w:rPr>
        <w:t xml:space="preserve"> </w:t>
      </w:r>
      <w:r w:rsidRPr="0078165D">
        <w:rPr>
          <w:rStyle w:val="markedcontent"/>
          <w:rFonts w:cs="Arial"/>
          <w:szCs w:val="24"/>
        </w:rPr>
        <w:t>nadzoru pedagogicznego (Dz.U.</w:t>
      </w:r>
      <w:r>
        <w:rPr>
          <w:rStyle w:val="markedcontent"/>
          <w:rFonts w:cs="Arial"/>
          <w:szCs w:val="24"/>
        </w:rPr>
        <w:t xml:space="preserve"> z </w:t>
      </w:r>
      <w:r w:rsidRPr="0078165D">
        <w:rPr>
          <w:rStyle w:val="markedcontent"/>
          <w:rFonts w:cs="Arial"/>
          <w:szCs w:val="24"/>
        </w:rPr>
        <w:t>2020</w:t>
      </w:r>
      <w:r>
        <w:rPr>
          <w:rStyle w:val="markedcontent"/>
          <w:rFonts w:cs="Arial"/>
          <w:szCs w:val="24"/>
        </w:rPr>
        <w:t xml:space="preserve"> </w:t>
      </w:r>
      <w:r w:rsidR="009F036C">
        <w:rPr>
          <w:rStyle w:val="markedcontent"/>
          <w:rFonts w:cs="Arial"/>
          <w:szCs w:val="24"/>
        </w:rPr>
        <w:t xml:space="preserve">r. </w:t>
      </w:r>
      <w:bookmarkStart w:id="0" w:name="_GoBack"/>
      <w:bookmarkEnd w:id="0"/>
      <w:r>
        <w:rPr>
          <w:rStyle w:val="markedcontent"/>
          <w:rFonts w:cs="Arial"/>
          <w:szCs w:val="24"/>
        </w:rPr>
        <w:t xml:space="preserve">poz. </w:t>
      </w:r>
      <w:r w:rsidRPr="0078165D">
        <w:rPr>
          <w:rStyle w:val="markedcontent"/>
          <w:rFonts w:cs="Arial"/>
          <w:szCs w:val="24"/>
        </w:rPr>
        <w:t>1551 z</w:t>
      </w:r>
      <w:r>
        <w:rPr>
          <w:rStyle w:val="markedcontent"/>
          <w:rFonts w:cs="Arial"/>
          <w:szCs w:val="24"/>
        </w:rPr>
        <w:t xml:space="preserve"> </w:t>
      </w:r>
      <w:proofErr w:type="spellStart"/>
      <w:r>
        <w:rPr>
          <w:rStyle w:val="markedcontent"/>
          <w:rFonts w:cs="Arial"/>
          <w:szCs w:val="24"/>
        </w:rPr>
        <w:t>późn</w:t>
      </w:r>
      <w:proofErr w:type="spellEnd"/>
      <w:r>
        <w:rPr>
          <w:rStyle w:val="markedcontent"/>
          <w:rFonts w:cs="Arial"/>
          <w:szCs w:val="24"/>
        </w:rPr>
        <w:t>.</w:t>
      </w:r>
      <w:r w:rsidRPr="0078165D">
        <w:rPr>
          <w:rStyle w:val="markedcontent"/>
          <w:rFonts w:cs="Arial"/>
          <w:szCs w:val="24"/>
        </w:rPr>
        <w:t xml:space="preserve"> zm.).</w:t>
      </w:r>
    </w:p>
    <w:p w:rsidR="00E54C79" w:rsidRPr="0078165D" w:rsidRDefault="00E54C79" w:rsidP="00E54C79">
      <w:pPr>
        <w:pStyle w:val="Akapitzlist"/>
        <w:numPr>
          <w:ilvl w:val="1"/>
          <w:numId w:val="1"/>
        </w:numPr>
        <w:spacing w:line="276" w:lineRule="auto"/>
        <w:ind w:left="426" w:hanging="426"/>
        <w:rPr>
          <w:rFonts w:cs="Arial"/>
          <w:szCs w:val="24"/>
        </w:rPr>
      </w:pPr>
      <w:r w:rsidRPr="0078165D">
        <w:rPr>
          <w:rFonts w:cs="Arial"/>
          <w:szCs w:val="24"/>
        </w:rPr>
        <w:t>Podstawowe kierunki polityki oświatowej państwa w roku szkolnym 2023/2024.</w:t>
      </w:r>
    </w:p>
    <w:p w:rsidR="00E54C79" w:rsidRPr="0078165D" w:rsidRDefault="00E54C79" w:rsidP="00E54C79">
      <w:pPr>
        <w:pStyle w:val="Akapitzlist"/>
        <w:numPr>
          <w:ilvl w:val="1"/>
          <w:numId w:val="1"/>
        </w:numPr>
        <w:spacing w:before="240" w:line="276" w:lineRule="auto"/>
        <w:ind w:left="426" w:hanging="426"/>
        <w:rPr>
          <w:rFonts w:cs="Arial"/>
          <w:szCs w:val="24"/>
        </w:rPr>
      </w:pPr>
      <w:r w:rsidRPr="0078165D">
        <w:rPr>
          <w:rFonts w:cs="Arial"/>
          <w:szCs w:val="24"/>
        </w:rPr>
        <w:t>Założenia do opracowania planu nadzoru pedagogicznego w roku szkolnym 2023/2024 ustalone przez Ministra Edukacji i Nauki, przekazane pismem DKOPP-WNP.4092.112.2023.DB z dnia 9 sierpnia 2023 r.</w:t>
      </w:r>
    </w:p>
    <w:p w:rsidR="00E54C79" w:rsidRPr="00C86BCF" w:rsidRDefault="00E54C79" w:rsidP="00E54C79">
      <w:pPr>
        <w:pStyle w:val="Podtytu"/>
        <w:numPr>
          <w:ilvl w:val="0"/>
          <w:numId w:val="3"/>
        </w:numPr>
        <w:ind w:left="426" w:hanging="142"/>
        <w:rPr>
          <w:rFonts w:ascii="Arial" w:hAnsi="Arial" w:cs="Arial"/>
          <w:color w:val="auto"/>
          <w:sz w:val="28"/>
          <w:szCs w:val="28"/>
        </w:rPr>
      </w:pPr>
      <w:r w:rsidRPr="00C86BCF">
        <w:rPr>
          <w:rFonts w:ascii="Arial" w:hAnsi="Arial" w:cs="Arial"/>
          <w:color w:val="auto"/>
          <w:sz w:val="28"/>
          <w:szCs w:val="28"/>
        </w:rPr>
        <w:t>Kierunki polityki oświatowej państwa realizowane przez Łódzkiego Kuratora Oświaty w roku szkolnym 2023/2024:</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Doskonalenie kompetencji dyrektorów szkół i nauczycieli w zakresie warunków i sposobu oceniania wewnątrzszkolnego.</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Doskonalenie kompetencji nauczycieli w pracy z uczniem z doświadczeniem migracyjnym, w tym w zakresie nauczania języka polskiego jako języka obcego.</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Rozwój kształcenia zawodowego i uczenia się w miejscu pracy w partnerstwie z przedstawicielami branż.</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Wspieranie nauczycieli w podejmowaniu inicjatyw/działań w zakresie zachęcania i wspierania uczniów do rozwijania ich aktywności fizycznej.</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E54C79" w:rsidRPr="0078165D"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t>Rozwijanie umiejętności uczniów i nauczycieli z wykorzystaniem sprzętu zakupionego w ramach programu „Laboratoria przyszłości”.</w:t>
      </w:r>
    </w:p>
    <w:p w:rsidR="00E54C79" w:rsidRPr="00C86BCF" w:rsidRDefault="00E54C79" w:rsidP="00E54C79">
      <w:pPr>
        <w:numPr>
          <w:ilvl w:val="0"/>
          <w:numId w:val="2"/>
        </w:numPr>
        <w:spacing w:before="100" w:beforeAutospacing="1" w:after="100" w:afterAutospacing="1" w:line="276" w:lineRule="auto"/>
        <w:rPr>
          <w:rFonts w:eastAsia="Times New Roman" w:cs="Arial"/>
          <w:szCs w:val="28"/>
          <w:lang w:eastAsia="pl-PL"/>
        </w:rPr>
      </w:pPr>
      <w:r w:rsidRPr="00C86BCF">
        <w:rPr>
          <w:rFonts w:eastAsia="Times New Roman" w:cs="Arial"/>
          <w:szCs w:val="28"/>
          <w:lang w:eastAsia="pl-PL"/>
        </w:rPr>
        <w:lastRenderedPageBreak/>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E54C79" w:rsidRPr="00C86BCF" w:rsidRDefault="00E54C79" w:rsidP="00E54C79">
      <w:pPr>
        <w:pStyle w:val="Podtytu"/>
        <w:numPr>
          <w:ilvl w:val="0"/>
          <w:numId w:val="3"/>
        </w:numPr>
        <w:rPr>
          <w:rFonts w:ascii="Arial" w:hAnsi="Arial" w:cs="Arial"/>
          <w:color w:val="auto"/>
          <w:sz w:val="28"/>
          <w:szCs w:val="24"/>
        </w:rPr>
      </w:pPr>
      <w:r w:rsidRPr="00C86BCF">
        <w:rPr>
          <w:rFonts w:ascii="Arial" w:hAnsi="Arial" w:cs="Arial"/>
          <w:color w:val="auto"/>
          <w:sz w:val="28"/>
          <w:szCs w:val="24"/>
        </w:rPr>
        <w:t>Zadania realizowane w ramach nadzoru pedagogicznego przez Łódzkiego Kuratora Oświaty w zakresie kontroli planowych:</w:t>
      </w:r>
    </w:p>
    <w:tbl>
      <w:tblPr>
        <w:tblW w:w="134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1"/>
        <w:gridCol w:w="5076"/>
        <w:gridCol w:w="2835"/>
        <w:gridCol w:w="2552"/>
        <w:gridCol w:w="2268"/>
      </w:tblGrid>
      <w:tr w:rsidR="00E54C79" w:rsidRPr="00C86BCF" w:rsidTr="00725D52">
        <w:trPr>
          <w:tblHead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E54C79" w:rsidRPr="00ED7685" w:rsidRDefault="00E54C79" w:rsidP="00725D52">
            <w:pPr>
              <w:rPr>
                <w:rFonts w:cs="Arial"/>
                <w:bCs/>
                <w:szCs w:val="24"/>
              </w:rPr>
            </w:pPr>
          </w:p>
          <w:p w:rsidR="00E54C79" w:rsidRPr="00ED7685" w:rsidRDefault="00E54C79" w:rsidP="00725D52">
            <w:pPr>
              <w:rPr>
                <w:rFonts w:cs="Arial"/>
                <w:bCs/>
                <w:szCs w:val="24"/>
              </w:rPr>
            </w:pPr>
            <w:r w:rsidRPr="00ED7685">
              <w:rPr>
                <w:rFonts w:cs="Arial"/>
                <w:bCs/>
                <w:szCs w:val="24"/>
              </w:rPr>
              <w:t>Lp.</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E54C79" w:rsidRPr="00ED7685" w:rsidRDefault="00E54C79" w:rsidP="00725D52">
            <w:pPr>
              <w:rPr>
                <w:rFonts w:cs="Arial"/>
                <w:bCs/>
                <w:szCs w:val="24"/>
              </w:rPr>
            </w:pPr>
          </w:p>
          <w:p w:rsidR="00E54C79" w:rsidRPr="00ED7685" w:rsidRDefault="00E54C79" w:rsidP="00725D52">
            <w:pPr>
              <w:jc w:val="center"/>
              <w:rPr>
                <w:rFonts w:cs="Arial"/>
                <w:bCs/>
                <w:szCs w:val="24"/>
              </w:rPr>
            </w:pPr>
            <w:r w:rsidRPr="00ED7685">
              <w:rPr>
                <w:rFonts w:cs="Arial"/>
                <w:bCs/>
                <w:szCs w:val="24"/>
              </w:rPr>
              <w:t>Kierunki realizacji zadań z zakresu nadzoru pedagogicznego - kontrole planowe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jc w:val="center"/>
              <w:rPr>
                <w:rFonts w:cs="Arial"/>
                <w:bCs/>
                <w:szCs w:val="24"/>
              </w:rPr>
            </w:pPr>
          </w:p>
          <w:p w:rsidR="00E54C79" w:rsidRPr="00ED7685" w:rsidRDefault="00E54C79" w:rsidP="00725D52">
            <w:pPr>
              <w:jc w:val="center"/>
              <w:rPr>
                <w:rFonts w:cs="Arial"/>
                <w:bCs/>
                <w:szCs w:val="24"/>
              </w:rPr>
            </w:pPr>
            <w:r w:rsidRPr="00ED7685">
              <w:rPr>
                <w:rFonts w:cs="Arial"/>
                <w:bCs/>
                <w:szCs w:val="24"/>
              </w:rPr>
              <w:t>Typ szkoły/rodzaj placówki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jc w:val="center"/>
              <w:rPr>
                <w:rFonts w:cs="Arial"/>
                <w:bCs/>
                <w:szCs w:val="24"/>
              </w:rPr>
            </w:pPr>
          </w:p>
          <w:p w:rsidR="00E54C79" w:rsidRPr="00ED7685" w:rsidRDefault="00E54C79" w:rsidP="00725D52">
            <w:pPr>
              <w:jc w:val="center"/>
              <w:rPr>
                <w:rFonts w:cs="Arial"/>
                <w:bCs/>
                <w:szCs w:val="24"/>
              </w:rPr>
            </w:pPr>
            <w:r w:rsidRPr="00ED7685">
              <w:rPr>
                <w:rFonts w:cs="Arial"/>
                <w:bCs/>
                <w:szCs w:val="24"/>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jc w:val="center"/>
              <w:rPr>
                <w:rFonts w:cs="Arial"/>
                <w:bCs/>
                <w:szCs w:val="24"/>
              </w:rPr>
            </w:pPr>
          </w:p>
          <w:p w:rsidR="00E54C79" w:rsidRPr="00ED7685" w:rsidRDefault="00E54C79" w:rsidP="00725D52">
            <w:pPr>
              <w:jc w:val="center"/>
              <w:rPr>
                <w:rFonts w:cs="Arial"/>
                <w:bCs/>
                <w:szCs w:val="24"/>
              </w:rPr>
            </w:pPr>
            <w:r w:rsidRPr="00ED7685">
              <w:rPr>
                <w:rFonts w:cs="Arial"/>
                <w:bCs/>
                <w:szCs w:val="24"/>
              </w:rPr>
              <w:t>Liczba szkół i placówek objętych kontrolą</w:t>
            </w:r>
          </w:p>
        </w:tc>
      </w:tr>
      <w:tr w:rsidR="00E54C79" w:rsidRPr="00C86BCF" w:rsidTr="00725D52">
        <w:trPr>
          <w:trHeight w:val="467"/>
        </w:trPr>
        <w:tc>
          <w:tcPr>
            <w:tcW w:w="691" w:type="dxa"/>
            <w:tcBorders>
              <w:top w:val="single" w:sz="4" w:space="0" w:color="auto"/>
              <w:left w:val="single" w:sz="4" w:space="0" w:color="auto"/>
              <w:bottom w:val="single" w:sz="4" w:space="0" w:color="auto"/>
              <w:right w:val="single" w:sz="4" w:space="0" w:color="auto"/>
            </w:tcBorders>
            <w:shd w:val="clear" w:color="auto" w:fill="auto"/>
          </w:tcPr>
          <w:p w:rsidR="00E54C79" w:rsidRPr="00ED7685" w:rsidRDefault="00E54C79" w:rsidP="00725D52">
            <w:pPr>
              <w:jc w:val="center"/>
              <w:rPr>
                <w:rFonts w:cs="Arial"/>
                <w:szCs w:val="24"/>
              </w:rPr>
            </w:pPr>
          </w:p>
          <w:p w:rsidR="00E54C79" w:rsidRPr="00ED7685" w:rsidRDefault="00E54C79" w:rsidP="00725D52">
            <w:pPr>
              <w:jc w:val="center"/>
              <w:rPr>
                <w:rFonts w:cs="Arial"/>
                <w:szCs w:val="24"/>
              </w:rPr>
            </w:pPr>
            <w:r w:rsidRPr="00ED7685">
              <w:rPr>
                <w:rFonts w:cs="Arial"/>
                <w:szCs w:val="24"/>
              </w:rPr>
              <w:t>1.</w:t>
            </w:r>
          </w:p>
        </w:tc>
        <w:tc>
          <w:tcPr>
            <w:tcW w:w="5076" w:type="dxa"/>
            <w:vAlign w:val="center"/>
          </w:tcPr>
          <w:p w:rsidR="00E54C79" w:rsidRPr="00ED7685" w:rsidRDefault="00E54C79" w:rsidP="00725D52">
            <w:pPr>
              <w:rPr>
                <w:rFonts w:cs="Arial"/>
                <w:color w:val="000000" w:themeColor="text1"/>
                <w:szCs w:val="24"/>
              </w:rPr>
            </w:pPr>
            <w:r w:rsidRPr="00ED7685">
              <w:rPr>
                <w:rFonts w:cs="Arial"/>
                <w:color w:val="000000" w:themeColor="text1"/>
                <w:szCs w:val="24"/>
              </w:rPr>
              <w:t>Zgodność z przepisami prawa zwiększenia dostępności i jakości wsparcia udzielanego dzieciom przez nauczycieli specjalistów, w tym pedagogów specjalnych</w:t>
            </w:r>
          </w:p>
        </w:tc>
        <w:tc>
          <w:tcPr>
            <w:tcW w:w="2835" w:type="dxa"/>
            <w:vAlign w:val="center"/>
          </w:tcPr>
          <w:p w:rsidR="00E54C79" w:rsidRPr="00ED7685" w:rsidRDefault="00E54C79" w:rsidP="00725D52">
            <w:pPr>
              <w:ind w:left="-40"/>
              <w:jc w:val="center"/>
              <w:rPr>
                <w:rFonts w:cs="Arial"/>
                <w:color w:val="000000" w:themeColor="text1"/>
                <w:szCs w:val="24"/>
              </w:rPr>
            </w:pPr>
            <w:r w:rsidRPr="00ED7685">
              <w:rPr>
                <w:rFonts w:cs="Arial"/>
                <w:color w:val="000000" w:themeColor="text1"/>
                <w:szCs w:val="24"/>
              </w:rPr>
              <w:t>przedszkola ogólnodostępne i integracyjne</w:t>
            </w:r>
          </w:p>
        </w:tc>
        <w:tc>
          <w:tcPr>
            <w:tcW w:w="2552"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styczeń – maj 2024</w:t>
            </w:r>
          </w:p>
        </w:tc>
        <w:tc>
          <w:tcPr>
            <w:tcW w:w="2268"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475</w:t>
            </w:r>
          </w:p>
        </w:tc>
      </w:tr>
      <w:tr w:rsidR="00E54C79" w:rsidRPr="00C86BCF" w:rsidTr="00725D52">
        <w:trPr>
          <w:trHeight w:val="1828"/>
        </w:trPr>
        <w:tc>
          <w:tcPr>
            <w:tcW w:w="691" w:type="dxa"/>
            <w:tcBorders>
              <w:top w:val="single" w:sz="4" w:space="0" w:color="auto"/>
              <w:left w:val="single" w:sz="4" w:space="0" w:color="auto"/>
              <w:bottom w:val="single" w:sz="4" w:space="0" w:color="auto"/>
              <w:right w:val="single" w:sz="4" w:space="0" w:color="auto"/>
            </w:tcBorders>
            <w:shd w:val="clear" w:color="auto" w:fill="auto"/>
          </w:tcPr>
          <w:p w:rsidR="00E54C79" w:rsidRPr="00ED7685" w:rsidRDefault="00E54C79" w:rsidP="00725D52">
            <w:pPr>
              <w:jc w:val="center"/>
              <w:rPr>
                <w:rFonts w:cs="Arial"/>
                <w:szCs w:val="24"/>
              </w:rPr>
            </w:pPr>
          </w:p>
          <w:p w:rsidR="00E54C79" w:rsidRPr="00ED7685" w:rsidRDefault="00E54C79" w:rsidP="00725D52">
            <w:pPr>
              <w:jc w:val="center"/>
              <w:rPr>
                <w:rFonts w:cs="Arial"/>
                <w:szCs w:val="24"/>
              </w:rPr>
            </w:pPr>
            <w:r w:rsidRPr="00ED7685">
              <w:rPr>
                <w:rFonts w:cs="Arial"/>
                <w:szCs w:val="24"/>
              </w:rPr>
              <w:t>2.</w:t>
            </w:r>
          </w:p>
        </w:tc>
        <w:tc>
          <w:tcPr>
            <w:tcW w:w="5076" w:type="dxa"/>
            <w:vAlign w:val="center"/>
          </w:tcPr>
          <w:p w:rsidR="00E54C79" w:rsidRPr="00ED7685" w:rsidRDefault="00E54C79" w:rsidP="00725D52">
            <w:pPr>
              <w:rPr>
                <w:rFonts w:cs="Arial"/>
                <w:color w:val="000000" w:themeColor="text1"/>
                <w:szCs w:val="24"/>
              </w:rPr>
            </w:pPr>
            <w:r w:rsidRPr="00ED7685">
              <w:rPr>
                <w:rFonts w:cs="Arial"/>
                <w:color w:val="000000" w:themeColor="text1"/>
                <w:szCs w:val="24"/>
              </w:rPr>
              <w:t>Zgodność z przepisami prawa zwiększenia dostępności i jakości wsparcia udzielanego uczniom przez nauczycieli specjalistów, w tym pedagogów specjalnych</w:t>
            </w:r>
          </w:p>
          <w:p w:rsidR="00E54C79" w:rsidRPr="00ED7685" w:rsidRDefault="00E54C79" w:rsidP="00725D52">
            <w:pPr>
              <w:rPr>
                <w:rFonts w:cs="Arial"/>
                <w:color w:val="000000" w:themeColor="text1"/>
                <w:szCs w:val="24"/>
              </w:rPr>
            </w:pPr>
          </w:p>
        </w:tc>
        <w:tc>
          <w:tcPr>
            <w:tcW w:w="2835" w:type="dxa"/>
            <w:vAlign w:val="center"/>
          </w:tcPr>
          <w:p w:rsidR="00E54C79" w:rsidRPr="00ED7685" w:rsidRDefault="00E54C79" w:rsidP="00725D52">
            <w:pPr>
              <w:ind w:left="-40"/>
              <w:jc w:val="center"/>
              <w:rPr>
                <w:rFonts w:cs="Arial"/>
                <w:color w:val="000000" w:themeColor="text1"/>
                <w:szCs w:val="24"/>
              </w:rPr>
            </w:pPr>
            <w:r w:rsidRPr="00ED7685">
              <w:rPr>
                <w:rFonts w:cs="Arial"/>
                <w:color w:val="000000" w:themeColor="text1"/>
                <w:szCs w:val="24"/>
              </w:rPr>
              <w:t>szkoły podstawowe, licea ogólnokształcące, technika, branżowe szkoły I stopnia (ogólnodostępne i integracyjne)</w:t>
            </w:r>
          </w:p>
        </w:tc>
        <w:tc>
          <w:tcPr>
            <w:tcW w:w="2552"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styczeń – maj 2024</w:t>
            </w:r>
          </w:p>
        </w:tc>
        <w:tc>
          <w:tcPr>
            <w:tcW w:w="2268"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391</w:t>
            </w:r>
          </w:p>
        </w:tc>
      </w:tr>
      <w:tr w:rsidR="00E54C79" w:rsidRPr="00C86BCF" w:rsidTr="00725D52">
        <w:trPr>
          <w:trHeight w:val="158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jc w:val="center"/>
              <w:rPr>
                <w:rFonts w:cs="Arial"/>
                <w:szCs w:val="24"/>
              </w:rPr>
            </w:pPr>
            <w:r w:rsidRPr="00ED7685">
              <w:rPr>
                <w:rFonts w:cs="Arial"/>
                <w:szCs w:val="24"/>
              </w:rPr>
              <w:t>3.</w:t>
            </w:r>
          </w:p>
        </w:tc>
        <w:tc>
          <w:tcPr>
            <w:tcW w:w="5076" w:type="dxa"/>
            <w:vAlign w:val="center"/>
          </w:tcPr>
          <w:p w:rsidR="00E54C79" w:rsidRPr="00ED7685" w:rsidRDefault="00E54C79" w:rsidP="00725D52">
            <w:pPr>
              <w:rPr>
                <w:rFonts w:cs="Arial"/>
                <w:color w:val="000000" w:themeColor="text1"/>
                <w:szCs w:val="24"/>
              </w:rPr>
            </w:pPr>
            <w:r w:rsidRPr="00ED7685">
              <w:rPr>
                <w:rFonts w:cs="Arial"/>
                <w:color w:val="000000" w:themeColor="text1"/>
                <w:szCs w:val="24"/>
              </w:rPr>
              <w:t>Prawidłowość wykorzystania podręczników i książek pomocniczych do kształcenia uczniów w zakresie niezbędnym do podtrzymania poczucia tożsamości narodowej, etnicznej i językowej</w:t>
            </w:r>
          </w:p>
        </w:tc>
        <w:tc>
          <w:tcPr>
            <w:tcW w:w="2835" w:type="dxa"/>
            <w:vAlign w:val="center"/>
          </w:tcPr>
          <w:p w:rsidR="00E54C79" w:rsidRPr="00ED7685" w:rsidRDefault="00E54C79" w:rsidP="00725D52">
            <w:pPr>
              <w:ind w:left="-40"/>
              <w:jc w:val="center"/>
              <w:rPr>
                <w:rFonts w:cs="Arial"/>
                <w:color w:val="000000" w:themeColor="text1"/>
                <w:szCs w:val="24"/>
              </w:rPr>
            </w:pPr>
            <w:r w:rsidRPr="00ED7685">
              <w:rPr>
                <w:rFonts w:cs="Arial"/>
                <w:color w:val="000000" w:themeColor="text1"/>
                <w:szCs w:val="24"/>
              </w:rPr>
              <w:t>publiczne przedszkola, szkoły podstawowe, licea ogólnokształcące, technika, branżowe szkoły I stopnia</w:t>
            </w:r>
          </w:p>
        </w:tc>
        <w:tc>
          <w:tcPr>
            <w:tcW w:w="2552"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kwiecień – czerwiec 2024</w:t>
            </w:r>
          </w:p>
        </w:tc>
        <w:tc>
          <w:tcPr>
            <w:tcW w:w="2268" w:type="dxa"/>
            <w:vAlign w:val="center"/>
          </w:tcPr>
          <w:p w:rsidR="00E54C79" w:rsidRPr="00ED7685" w:rsidRDefault="00E54C79" w:rsidP="00725D52">
            <w:pPr>
              <w:jc w:val="center"/>
              <w:rPr>
                <w:rFonts w:cs="Arial"/>
                <w:color w:val="000000" w:themeColor="text1"/>
                <w:szCs w:val="24"/>
              </w:rPr>
            </w:pPr>
            <w:r w:rsidRPr="00ED7685">
              <w:rPr>
                <w:rFonts w:cs="Arial"/>
                <w:color w:val="000000" w:themeColor="text1"/>
                <w:szCs w:val="24"/>
              </w:rPr>
              <w:t>0</w:t>
            </w:r>
          </w:p>
        </w:tc>
      </w:tr>
      <w:tr w:rsidR="00E54C79" w:rsidRPr="00C86BCF" w:rsidTr="00725D52">
        <w:trPr>
          <w:trHeight w:val="723"/>
        </w:trPr>
        <w:tc>
          <w:tcPr>
            <w:tcW w:w="691" w:type="dxa"/>
            <w:tcBorders>
              <w:top w:val="single" w:sz="4" w:space="0" w:color="auto"/>
              <w:left w:val="single" w:sz="4" w:space="0" w:color="auto"/>
              <w:bottom w:val="single" w:sz="4" w:space="0" w:color="auto"/>
              <w:right w:val="single" w:sz="4" w:space="0" w:color="auto"/>
            </w:tcBorders>
            <w:shd w:val="clear" w:color="auto" w:fill="auto"/>
          </w:tcPr>
          <w:p w:rsidR="00E54C79" w:rsidRPr="00ED7685" w:rsidRDefault="00E54C79" w:rsidP="00725D52">
            <w:pPr>
              <w:jc w:val="center"/>
              <w:rPr>
                <w:rFonts w:cs="Arial"/>
                <w:szCs w:val="24"/>
              </w:rPr>
            </w:pPr>
          </w:p>
        </w:tc>
        <w:tc>
          <w:tcPr>
            <w:tcW w:w="10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pStyle w:val="NormalnyWeb"/>
              <w:spacing w:before="0" w:beforeAutospacing="0" w:after="0" w:afterAutospacing="0"/>
              <w:jc w:val="center"/>
              <w:rPr>
                <w:rFonts w:ascii="Arial" w:hAnsi="Arial" w:cs="Arial"/>
                <w:kern w:val="24"/>
              </w:rPr>
            </w:pPr>
            <w:r w:rsidRPr="00ED7685">
              <w:rPr>
                <w:rFonts w:ascii="Arial" w:hAnsi="Arial" w:cs="Arial"/>
                <w:kern w:val="24"/>
              </w:rPr>
              <w:t>RAZEM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54C79" w:rsidRPr="00ED7685" w:rsidRDefault="00E54C79" w:rsidP="00725D52">
            <w:pPr>
              <w:pStyle w:val="NormalnyWeb"/>
              <w:spacing w:before="0" w:beforeAutospacing="0" w:after="0" w:afterAutospacing="0"/>
              <w:jc w:val="center"/>
              <w:rPr>
                <w:rFonts w:ascii="Arial" w:hAnsi="Arial" w:cs="Arial"/>
                <w:bCs/>
                <w:kern w:val="24"/>
              </w:rPr>
            </w:pPr>
            <w:r w:rsidRPr="00ED7685">
              <w:rPr>
                <w:rFonts w:ascii="Arial" w:hAnsi="Arial" w:cs="Arial"/>
                <w:bCs/>
                <w:kern w:val="24"/>
              </w:rPr>
              <w:t>866</w:t>
            </w:r>
          </w:p>
        </w:tc>
      </w:tr>
    </w:tbl>
    <w:p w:rsidR="00E54C79" w:rsidRPr="00C86BCF" w:rsidRDefault="00E54C79" w:rsidP="00E54C79">
      <w:pPr>
        <w:pStyle w:val="Akapitzlist"/>
        <w:spacing w:line="360" w:lineRule="auto"/>
        <w:rPr>
          <w:rFonts w:cs="Arial"/>
          <w:sz w:val="28"/>
          <w:szCs w:val="28"/>
        </w:rPr>
      </w:pPr>
    </w:p>
    <w:p w:rsidR="00E54C79" w:rsidRDefault="00E54C79" w:rsidP="00E54C79">
      <w:pPr>
        <w:pStyle w:val="Akapitzlist"/>
        <w:numPr>
          <w:ilvl w:val="0"/>
          <w:numId w:val="3"/>
        </w:numPr>
        <w:spacing w:after="0" w:line="360" w:lineRule="auto"/>
        <w:rPr>
          <w:rFonts w:cs="Arial"/>
          <w:szCs w:val="28"/>
        </w:rPr>
      </w:pPr>
      <w:r w:rsidRPr="0078165D">
        <w:rPr>
          <w:rFonts w:cs="Arial"/>
          <w:szCs w:val="28"/>
        </w:rPr>
        <w:t>Łódzki Kurator Oświaty podejmie działania w zakresie wspomagania szkół i placówek we wszystkich obszarach ich  działalności oraz czynności kontrolne wynikające z bieżących interwencji.</w:t>
      </w:r>
    </w:p>
    <w:p w:rsidR="00E54C79" w:rsidRPr="0078165D" w:rsidRDefault="00E54C79" w:rsidP="00E54C79">
      <w:pPr>
        <w:pStyle w:val="Akapitzlist"/>
        <w:spacing w:after="0" w:line="360" w:lineRule="auto"/>
        <w:rPr>
          <w:rFonts w:cs="Arial"/>
          <w:szCs w:val="28"/>
        </w:rPr>
      </w:pPr>
    </w:p>
    <w:p w:rsidR="00295D33" w:rsidRDefault="00295D33"/>
    <w:p w:rsidR="00072033" w:rsidRDefault="00072033">
      <w:r>
        <w:t>Z up. Łódzkiego Kuratora Oświaty</w:t>
      </w:r>
    </w:p>
    <w:p w:rsidR="00072033" w:rsidRDefault="00EC68AE">
      <w:r>
        <w:t>Andrzej Krych</w:t>
      </w:r>
    </w:p>
    <w:p w:rsidR="00EC68AE" w:rsidRDefault="00EC68AE">
      <w:r>
        <w:t>Łódzki Wicekurator Oświaty</w:t>
      </w:r>
    </w:p>
    <w:sectPr w:rsidR="00EC68AE" w:rsidSect="001726CC">
      <w:pgSz w:w="16838" w:h="11906" w:orient="landscape"/>
      <w:pgMar w:top="993"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0B15"/>
    <w:multiLevelType w:val="multilevel"/>
    <w:tmpl w:val="9DA4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E4087"/>
    <w:multiLevelType w:val="hybridMultilevel"/>
    <w:tmpl w:val="5406D2A2"/>
    <w:lvl w:ilvl="0" w:tplc="04150013">
      <w:start w:val="1"/>
      <w:numFmt w:val="upperRoman"/>
      <w:lvlText w:val="%1."/>
      <w:lvlJc w:val="right"/>
      <w:pPr>
        <w:ind w:left="360" w:hanging="360"/>
      </w:pPr>
    </w:lvl>
    <w:lvl w:ilvl="1" w:tplc="B93CD7E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790083"/>
    <w:multiLevelType w:val="hybridMultilevel"/>
    <w:tmpl w:val="19A08F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79"/>
    <w:rsid w:val="00072033"/>
    <w:rsid w:val="000A27F3"/>
    <w:rsid w:val="00295D33"/>
    <w:rsid w:val="009F036C"/>
    <w:rsid w:val="00B0701F"/>
    <w:rsid w:val="00E54C79"/>
    <w:rsid w:val="00EC6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107"/>
  <w15:chartTrackingRefBased/>
  <w15:docId w15:val="{982517BD-2BDB-4135-90E0-5237D2CF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4C79"/>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C79"/>
    <w:pPr>
      <w:ind w:left="720"/>
      <w:contextualSpacing/>
    </w:pPr>
  </w:style>
  <w:style w:type="paragraph" w:styleId="NormalnyWeb">
    <w:name w:val="Normal (Web)"/>
    <w:basedOn w:val="Normalny"/>
    <w:uiPriority w:val="99"/>
    <w:semiHidden/>
    <w:unhideWhenUsed/>
    <w:rsid w:val="00E54C79"/>
    <w:pPr>
      <w:spacing w:before="100" w:beforeAutospacing="1" w:after="100" w:afterAutospacing="1" w:line="240" w:lineRule="auto"/>
    </w:pPr>
    <w:rPr>
      <w:rFonts w:ascii="Times New Roman" w:eastAsia="Times New Roman" w:hAnsi="Times New Roman"/>
      <w:szCs w:val="24"/>
      <w:lang w:eastAsia="pl-PL"/>
    </w:rPr>
  </w:style>
  <w:style w:type="paragraph" w:styleId="Podtytu">
    <w:name w:val="Subtitle"/>
    <w:basedOn w:val="Normalny"/>
    <w:next w:val="Normalny"/>
    <w:link w:val="PodtytuZnak"/>
    <w:uiPriority w:val="11"/>
    <w:qFormat/>
    <w:rsid w:val="00E54C79"/>
    <w:pPr>
      <w:numPr>
        <w:ilvl w:val="1"/>
      </w:numPr>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E54C79"/>
    <w:rPr>
      <w:rFonts w:eastAsiaTheme="minorEastAsia"/>
      <w:color w:val="5A5A5A" w:themeColor="text1" w:themeTint="A5"/>
      <w:spacing w:val="15"/>
    </w:rPr>
  </w:style>
  <w:style w:type="character" w:customStyle="1" w:styleId="markedcontent">
    <w:name w:val="markedcontent"/>
    <w:basedOn w:val="Domylnaczcionkaakapitu"/>
    <w:rsid w:val="00E5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600</Words>
  <Characters>3604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Kuratorium Oświaty w Łodzi</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KO</cp:lastModifiedBy>
  <cp:revision>3</cp:revision>
  <dcterms:created xsi:type="dcterms:W3CDTF">2023-08-28T09:37:00Z</dcterms:created>
  <dcterms:modified xsi:type="dcterms:W3CDTF">2023-08-28T10:52:00Z</dcterms:modified>
</cp:coreProperties>
</file>