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2F85F51D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4932CD">
        <w:t xml:space="preserve">Języka </w:t>
      </w:r>
      <w:r w:rsidR="0031126A">
        <w:t>hiszpańskiego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46E32885" w14:textId="7FA3B23B" w:rsidR="00BC70F8" w:rsidRPr="002501CB" w:rsidRDefault="00593E8B" w:rsidP="00367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BC70F8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C70F8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C70F8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C70F8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4932CD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31126A">
        <w:rPr>
          <w:rFonts w:eastAsia="Times New Roman" w:cs="Arial"/>
          <w:bCs/>
          <w:iCs/>
          <w:sz w:val="22"/>
          <w:lang w:eastAsia="pl-PL" w:bidi="pl-PL"/>
        </w:rPr>
        <w:t>hiszpańskiego</w:t>
      </w:r>
      <w:r w:rsidR="00023B51" w:rsidRPr="00BC70F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4932CD" w:rsidRPr="000D6527">
        <w:rPr>
          <w:rFonts w:eastAsia="Times New Roman" w:cs="Arial"/>
          <w:bCs/>
          <w:iCs/>
          <w:sz w:val="22"/>
          <w:lang w:eastAsia="pl-PL" w:bidi="pl-PL"/>
        </w:rPr>
        <w:t>Kuratorium Oświaty w Łodzi, al. Kościuszki 120a, 90-446 Łódź, tel. 42 637 70 55</w:t>
      </w:r>
      <w:r w:rsidR="00367FEE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69644620" w:rsidR="00D83D57" w:rsidRPr="00BC70F8" w:rsidRDefault="00473DCD" w:rsidP="00BC7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C70F8">
        <w:rPr>
          <w:rFonts w:eastAsia="Times New Roman" w:cs="Arial"/>
          <w:sz w:val="22"/>
          <w:lang w:eastAsia="pl-PL"/>
        </w:rPr>
        <w:t>Cel konkursu</w:t>
      </w:r>
      <w:r w:rsidR="00D83D57" w:rsidRPr="00BC70F8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1164CB27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4932CD">
        <w:rPr>
          <w:rFonts w:cs="Arial"/>
          <w:sz w:val="22"/>
        </w:rPr>
        <w:t xml:space="preserve">Języka </w:t>
      </w:r>
      <w:r w:rsidR="0031126A">
        <w:rPr>
          <w:rFonts w:cs="Arial"/>
          <w:sz w:val="22"/>
        </w:rPr>
        <w:t>hiszpańskiego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39B44009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4932CD">
        <w:rPr>
          <w:rFonts w:eastAsia="Times New Roman" w:cs="Arial"/>
          <w:sz w:val="22"/>
          <w:lang w:eastAsia="pl-PL"/>
        </w:rPr>
        <w:t xml:space="preserve">Języka </w:t>
      </w:r>
      <w:r w:rsidR="0031126A">
        <w:rPr>
          <w:rFonts w:eastAsia="Times New Roman" w:cs="Arial"/>
          <w:sz w:val="22"/>
          <w:lang w:eastAsia="pl-PL"/>
        </w:rPr>
        <w:t>hiszpańskiego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2AE57E1D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4932CD">
        <w:rPr>
          <w:rFonts w:cs="Arial"/>
          <w:sz w:val="22"/>
        </w:rPr>
        <w:t xml:space="preserve">Języka </w:t>
      </w:r>
      <w:r w:rsidR="0031126A">
        <w:rPr>
          <w:rFonts w:cs="Arial"/>
          <w:sz w:val="22"/>
        </w:rPr>
        <w:t>hiszpańskiego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64EA" w14:textId="77777777" w:rsidR="0081390D" w:rsidRDefault="0081390D" w:rsidP="002E3AFD">
      <w:pPr>
        <w:spacing w:after="0" w:line="240" w:lineRule="auto"/>
      </w:pPr>
      <w:r>
        <w:separator/>
      </w:r>
    </w:p>
  </w:endnote>
  <w:endnote w:type="continuationSeparator" w:id="0">
    <w:p w14:paraId="38A104F8" w14:textId="77777777" w:rsidR="0081390D" w:rsidRDefault="0081390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79303C94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7D7F48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8839" w14:textId="77777777" w:rsidR="0081390D" w:rsidRDefault="0081390D" w:rsidP="002E3AFD">
      <w:pPr>
        <w:spacing w:after="0" w:line="240" w:lineRule="auto"/>
      </w:pPr>
      <w:r>
        <w:separator/>
      </w:r>
    </w:p>
  </w:footnote>
  <w:footnote w:type="continuationSeparator" w:id="0">
    <w:p w14:paraId="2C758D60" w14:textId="77777777" w:rsidR="0081390D" w:rsidRDefault="0081390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3F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AA3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126A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D7F48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390D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E280-3C98-41DE-8BE0-82118F5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7200</Words>
  <Characters>43201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50301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Hiszpańskiego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2022-09-29T12:38:00Z</dcterms:created>
  <dcterms:modified xsi:type="dcterms:W3CDTF">2022-09-29T12:38:00Z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