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sdt>
      <w:sdtPr>
        <w:id w:val="779143221"/>
        <w:docPartObj>
          <w:docPartGallery w:val="Cover Pages"/>
          <w:docPartUnique/>
        </w:docPartObj>
      </w:sdtPr>
      <w:sdtEndPr>
        <w:rPr>
          <w:rFonts w:eastAsia="Calibri" w:cs="Times New Roman"/>
          <w:b w:val="0"/>
          <w:bCs w:val="0"/>
          <w:kern w:val="0"/>
          <w:sz w:val="24"/>
          <w:szCs w:val="22"/>
        </w:rPr>
      </w:sdtEndPr>
      <w:sdtContent>
        <w:p w:rsidR="00802259" w:rsidRPr="00AC1354" w:rsidRDefault="00AC1354" w:rsidP="00AC1354">
          <w:pPr>
            <w:pStyle w:val="Tytu"/>
          </w:pPr>
          <w:r>
            <w:t>An</w:t>
          </w:r>
          <w:r w:rsidR="00447160" w:rsidRPr="00AC1354">
            <w:t xml:space="preserve">eks nr 2 </w:t>
          </w:r>
          <w:r>
            <w:t xml:space="preserve">do </w:t>
          </w:r>
          <w:r w:rsidR="00447160" w:rsidRPr="00AC1354">
            <w:t>Planu Nadzoru Pedagogicznego Łódzkiego Kuratora Oświaty</w:t>
          </w:r>
          <w:r>
            <w:t xml:space="preserve"> </w:t>
          </w:r>
          <w:r w:rsidR="00447160" w:rsidRPr="00AC1354">
            <w:t>w roku szkolnym 2021/2022</w:t>
          </w:r>
        </w:p>
        <w:p w:rsidR="001726CC" w:rsidRDefault="00AC1354" w:rsidP="00342A5D"/>
      </w:sdtContent>
    </w:sdt>
    <w:bookmarkEnd w:id="0" w:displacedByCustomXml="prev"/>
    <w:p w:rsidR="00EC7391" w:rsidRPr="00447160" w:rsidRDefault="00700412" w:rsidP="00EC7391">
      <w:pPr>
        <w:pStyle w:val="Akapitzlist"/>
        <w:spacing w:line="360" w:lineRule="auto"/>
        <w:ind w:firstLine="696"/>
        <w:jc w:val="both"/>
        <w:rPr>
          <w:rFonts w:cs="Arial"/>
        </w:rPr>
      </w:pPr>
      <w:r w:rsidRPr="00447160">
        <w:rPr>
          <w:rFonts w:cs="Arial"/>
        </w:rPr>
        <w:t xml:space="preserve">W związku z pismem Ministra Edukacji i Nauki DKO-WNP.4092.46.2021.DB </w:t>
      </w:r>
      <w:r w:rsidR="00EC7391" w:rsidRPr="00447160">
        <w:rPr>
          <w:rFonts w:cs="Arial"/>
        </w:rPr>
        <w:br/>
      </w:r>
      <w:r w:rsidRPr="00447160">
        <w:rPr>
          <w:rFonts w:cs="Arial"/>
        </w:rPr>
        <w:t xml:space="preserve">z dnia 28 marca 2022 r. w sprawie zmian w kierunkach realizacji polityki oświatowej państwa w roku szkolnym 2021/2022 w Planie Nadzoru Pedagogicznego Łódzkiego Kuratora Oświaty </w:t>
      </w:r>
      <w:r w:rsidR="00EC7391" w:rsidRPr="00447160">
        <w:rPr>
          <w:rFonts w:cs="Arial"/>
        </w:rPr>
        <w:t>dokonuje się następujących zmian</w:t>
      </w:r>
    </w:p>
    <w:p w:rsidR="0068703E" w:rsidRPr="00447160" w:rsidRDefault="00700412" w:rsidP="00EC7391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cs="Arial"/>
        </w:rPr>
      </w:pPr>
      <w:r w:rsidRPr="00447160">
        <w:rPr>
          <w:rFonts w:cs="Arial"/>
        </w:rPr>
        <w:t xml:space="preserve">w punkcie 2 dodaje się nowe kierunki realizacji polityki oświatowej państwa </w:t>
      </w:r>
      <w:r w:rsidR="00EC7391" w:rsidRPr="00447160">
        <w:rPr>
          <w:rFonts w:cs="Arial"/>
        </w:rPr>
        <w:br/>
      </w:r>
      <w:r w:rsidRPr="00447160">
        <w:rPr>
          <w:rFonts w:cs="Arial"/>
        </w:rPr>
        <w:t>w brzmieniu</w:t>
      </w:r>
      <w:r w:rsidR="00F04BC0" w:rsidRPr="00447160">
        <w:rPr>
          <w:rFonts w:cs="Arial"/>
        </w:rPr>
        <w:t>:</w:t>
      </w:r>
    </w:p>
    <w:p w:rsidR="00EC7391" w:rsidRPr="00447160" w:rsidRDefault="00EC7391" w:rsidP="000507C3">
      <w:pPr>
        <w:pStyle w:val="Akapitzlist"/>
        <w:spacing w:line="360" w:lineRule="auto"/>
        <w:ind w:left="993"/>
        <w:jc w:val="both"/>
        <w:rPr>
          <w:rFonts w:cs="Arial"/>
        </w:rPr>
      </w:pPr>
      <w:r w:rsidRPr="00447160">
        <w:rPr>
          <w:rFonts w:cs="Arial"/>
        </w:rPr>
        <w:t>7. Rozwijanie umiejętności podstawowych i przekrojowych uczniów w szczególności z wykorzystaniem pomocy dydaktycznych zakupionych w ramach projektu „Laboratoria przyszłości</w:t>
      </w:r>
      <w:r w:rsidR="000507C3">
        <w:rPr>
          <w:rFonts w:cs="Arial"/>
        </w:rPr>
        <w:t>”</w:t>
      </w:r>
      <w:r w:rsidRPr="00447160">
        <w:rPr>
          <w:rFonts w:cs="Arial"/>
        </w:rPr>
        <w:t>.</w:t>
      </w:r>
    </w:p>
    <w:p w:rsidR="00EC7391" w:rsidRPr="00447160" w:rsidRDefault="00EC7391" w:rsidP="000507C3">
      <w:pPr>
        <w:pStyle w:val="Akapitzlist"/>
        <w:spacing w:line="360" w:lineRule="auto"/>
        <w:ind w:left="993"/>
        <w:jc w:val="both"/>
        <w:rPr>
          <w:rFonts w:cs="Arial"/>
        </w:rPr>
      </w:pPr>
      <w:r w:rsidRPr="00447160">
        <w:rPr>
          <w:rFonts w:cs="Arial"/>
        </w:rPr>
        <w:t xml:space="preserve">8. Doskonalenie kompetencji nauczycieli w pracy z uczniem z doświadczeniem migracyjnym, w tym w zakresie nauczania języka polskiego jako języka obcego. </w:t>
      </w:r>
    </w:p>
    <w:p w:rsidR="00EC7391" w:rsidRPr="00447160" w:rsidRDefault="00EC7391" w:rsidP="00EC7391">
      <w:pPr>
        <w:pStyle w:val="Akapitzlist"/>
        <w:numPr>
          <w:ilvl w:val="0"/>
          <w:numId w:val="16"/>
        </w:numPr>
        <w:spacing w:line="360" w:lineRule="auto"/>
        <w:ind w:left="993" w:hanging="284"/>
        <w:jc w:val="both"/>
        <w:rPr>
          <w:rFonts w:cs="Arial"/>
        </w:rPr>
      </w:pPr>
      <w:r w:rsidRPr="00447160">
        <w:rPr>
          <w:rFonts w:cs="Arial"/>
        </w:rPr>
        <w:t>w punkcie 3. „Zadania realizowane w ramach nadzoru pedagogicznego przez Łódzkiego Kuratora Oświaty w zakresie kontroli planowych” skreślone zostają zadania ustalone w pkt. 7. - „Przyjmowanie do szkół i wspomaganie nauki osób niebędących obywatelami polskimi oraz osób będących obywatelami polskimi podlegającymi obowiązkowi szkolnemu lub obowiązkowi nauki, które pobierały naukę w szkołach funkcjonujących w systemach oświaty innych państw.” oraz w pkt. 8. - „Zgodność z prawem procesu rekrutacji, przyjmowania i przenoszenia uczniów do innej szkoły w latach 2019-2021 oraz arkuszy organizacji pracy szkoły.”</w:t>
      </w:r>
    </w:p>
    <w:p w:rsidR="00447160" w:rsidRPr="004A0F10" w:rsidRDefault="00871479" w:rsidP="00AC1354">
      <w:pPr>
        <w:pStyle w:val="Akapitzlist"/>
        <w:spacing w:after="360" w:line="360" w:lineRule="auto"/>
        <w:jc w:val="both"/>
        <w:rPr>
          <w:rFonts w:ascii="Times New Roman" w:hAnsi="Times New Roman"/>
        </w:rPr>
      </w:pPr>
      <w:r w:rsidRPr="00871479">
        <w:rPr>
          <w:rFonts w:cs="Arial"/>
        </w:rPr>
        <w:t>Ponadto, w związku z pismem Ministra Edukacji i Nauki DKO-WNP.4092.64.2021.DB z dnia 31 marca 2022 r. zmianie ulega termin realizacji kontroli planowej „Organizacja kształcenia i wsparcia dla uczniów objętych kształceniem specjalnym w szkołach specjalnych”.  Powyższa kontrola odbędzie się w terminie kwiecień – czerwiec 2022 r.</w:t>
      </w:r>
      <w:r w:rsidR="00AC1354" w:rsidRPr="004A0F10">
        <w:rPr>
          <w:rFonts w:ascii="Times New Roman" w:hAnsi="Times New Roman"/>
        </w:rPr>
        <w:t xml:space="preserve"> </w:t>
      </w:r>
    </w:p>
    <w:p w:rsidR="00AB7EBE" w:rsidRPr="00447160" w:rsidRDefault="00447160" w:rsidP="00447160">
      <w:pPr>
        <w:spacing w:line="360" w:lineRule="auto"/>
        <w:jc w:val="both"/>
        <w:rPr>
          <w:rFonts w:cs="Arial"/>
        </w:rPr>
      </w:pPr>
      <w:r w:rsidRPr="00447160">
        <w:rPr>
          <w:rFonts w:cs="Arial"/>
        </w:rPr>
        <w:t>Łódzki Kurator Oświaty</w:t>
      </w:r>
    </w:p>
    <w:p w:rsidR="0068703E" w:rsidRPr="00447160" w:rsidRDefault="00447160" w:rsidP="00AC1354">
      <w:pPr>
        <w:spacing w:after="360" w:line="360" w:lineRule="auto"/>
        <w:rPr>
          <w:rFonts w:cs="Arial"/>
        </w:rPr>
      </w:pPr>
      <w:r w:rsidRPr="00447160">
        <w:rPr>
          <w:rFonts w:cs="Arial"/>
        </w:rPr>
        <w:t xml:space="preserve">Waldemar </w:t>
      </w:r>
      <w:proofErr w:type="spellStart"/>
      <w:r w:rsidRPr="00447160">
        <w:rPr>
          <w:rFonts w:cs="Arial"/>
        </w:rPr>
        <w:t>Flajszer</w:t>
      </w:r>
      <w:proofErr w:type="spellEnd"/>
    </w:p>
    <w:p w:rsidR="00447160" w:rsidRPr="00447160" w:rsidRDefault="00447160" w:rsidP="003F0160">
      <w:pPr>
        <w:spacing w:after="0" w:line="360" w:lineRule="auto"/>
        <w:rPr>
          <w:rFonts w:cs="Arial"/>
        </w:rPr>
      </w:pPr>
      <w:r w:rsidRPr="00447160">
        <w:rPr>
          <w:rFonts w:cs="Arial"/>
        </w:rPr>
        <w:t xml:space="preserve">Łódź, </w:t>
      </w:r>
      <w:r w:rsidR="009E407D">
        <w:rPr>
          <w:rFonts w:cs="Arial"/>
        </w:rPr>
        <w:t>7</w:t>
      </w:r>
      <w:r w:rsidRPr="00447160">
        <w:rPr>
          <w:rFonts w:cs="Arial"/>
        </w:rPr>
        <w:t xml:space="preserve"> kwietnia 2022 r.</w:t>
      </w:r>
    </w:p>
    <w:sectPr w:rsidR="00447160" w:rsidRPr="00447160" w:rsidSect="00EC7391">
      <w:pgSz w:w="11906" w:h="16838"/>
      <w:pgMar w:top="1417" w:right="1417" w:bottom="1417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15DA"/>
    <w:multiLevelType w:val="hybridMultilevel"/>
    <w:tmpl w:val="1646E3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BD4EF9"/>
    <w:multiLevelType w:val="hybridMultilevel"/>
    <w:tmpl w:val="D1B23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098"/>
    <w:multiLevelType w:val="hybridMultilevel"/>
    <w:tmpl w:val="0DC0B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737E"/>
    <w:multiLevelType w:val="hybridMultilevel"/>
    <w:tmpl w:val="0178C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E693E"/>
    <w:multiLevelType w:val="hybridMultilevel"/>
    <w:tmpl w:val="59BAC3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4E4087"/>
    <w:multiLevelType w:val="hybridMultilevel"/>
    <w:tmpl w:val="756AF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37682"/>
    <w:multiLevelType w:val="hybridMultilevel"/>
    <w:tmpl w:val="428EC0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F525B04"/>
    <w:multiLevelType w:val="hybridMultilevel"/>
    <w:tmpl w:val="CC2E851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1E2805"/>
    <w:multiLevelType w:val="hybridMultilevel"/>
    <w:tmpl w:val="F3C2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B637D"/>
    <w:multiLevelType w:val="hybridMultilevel"/>
    <w:tmpl w:val="B6E4D8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E3E5D9A"/>
    <w:multiLevelType w:val="hybridMultilevel"/>
    <w:tmpl w:val="F70AC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B53A1"/>
    <w:multiLevelType w:val="hybridMultilevel"/>
    <w:tmpl w:val="0B38B3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1170A5"/>
    <w:multiLevelType w:val="hybridMultilevel"/>
    <w:tmpl w:val="9926DD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F951818"/>
    <w:multiLevelType w:val="hybridMultilevel"/>
    <w:tmpl w:val="9CCC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54FB0"/>
    <w:multiLevelType w:val="hybridMultilevel"/>
    <w:tmpl w:val="B45EE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67F21"/>
    <w:multiLevelType w:val="hybridMultilevel"/>
    <w:tmpl w:val="EC9A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4"/>
  </w:num>
  <w:num w:numId="12">
    <w:abstractNumId w:val="10"/>
  </w:num>
  <w:num w:numId="13">
    <w:abstractNumId w:val="0"/>
  </w:num>
  <w:num w:numId="14">
    <w:abstractNumId w:val="13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CD"/>
    <w:rsid w:val="000507C3"/>
    <w:rsid w:val="000D683D"/>
    <w:rsid w:val="001726CC"/>
    <w:rsid w:val="00196C35"/>
    <w:rsid w:val="00211A98"/>
    <w:rsid w:val="00217045"/>
    <w:rsid w:val="00231DD8"/>
    <w:rsid w:val="0028187D"/>
    <w:rsid w:val="002E4DD9"/>
    <w:rsid w:val="00342A5D"/>
    <w:rsid w:val="00363963"/>
    <w:rsid w:val="003A70F6"/>
    <w:rsid w:val="003D2967"/>
    <w:rsid w:val="003E0A0D"/>
    <w:rsid w:val="003F0160"/>
    <w:rsid w:val="0043386A"/>
    <w:rsid w:val="00447160"/>
    <w:rsid w:val="00464267"/>
    <w:rsid w:val="004A0F10"/>
    <w:rsid w:val="004C1B63"/>
    <w:rsid w:val="004C51D9"/>
    <w:rsid w:val="004D64CD"/>
    <w:rsid w:val="004F3BC9"/>
    <w:rsid w:val="004F4D1A"/>
    <w:rsid w:val="00500117"/>
    <w:rsid w:val="005B1391"/>
    <w:rsid w:val="006403EF"/>
    <w:rsid w:val="00662AFB"/>
    <w:rsid w:val="0068703E"/>
    <w:rsid w:val="006E2750"/>
    <w:rsid w:val="006F4F51"/>
    <w:rsid w:val="00700412"/>
    <w:rsid w:val="00700962"/>
    <w:rsid w:val="00702765"/>
    <w:rsid w:val="00714180"/>
    <w:rsid w:val="00717925"/>
    <w:rsid w:val="00717A42"/>
    <w:rsid w:val="00754445"/>
    <w:rsid w:val="0076267A"/>
    <w:rsid w:val="007B3692"/>
    <w:rsid w:val="007D1CF8"/>
    <w:rsid w:val="00802259"/>
    <w:rsid w:val="00802A7F"/>
    <w:rsid w:val="00830EDD"/>
    <w:rsid w:val="00871479"/>
    <w:rsid w:val="00882E94"/>
    <w:rsid w:val="009874EB"/>
    <w:rsid w:val="009E407D"/>
    <w:rsid w:val="009E53EE"/>
    <w:rsid w:val="00A34727"/>
    <w:rsid w:val="00A42938"/>
    <w:rsid w:val="00A62BC8"/>
    <w:rsid w:val="00AA20E3"/>
    <w:rsid w:val="00AB7EBE"/>
    <w:rsid w:val="00AC1354"/>
    <w:rsid w:val="00B90C1F"/>
    <w:rsid w:val="00B962BA"/>
    <w:rsid w:val="00C271AE"/>
    <w:rsid w:val="00C27973"/>
    <w:rsid w:val="00C32D5D"/>
    <w:rsid w:val="00D71719"/>
    <w:rsid w:val="00D72943"/>
    <w:rsid w:val="00E37BA2"/>
    <w:rsid w:val="00EC7391"/>
    <w:rsid w:val="00F04BC0"/>
    <w:rsid w:val="00F77113"/>
    <w:rsid w:val="00F82244"/>
    <w:rsid w:val="00F82D9D"/>
    <w:rsid w:val="00F85C3C"/>
    <w:rsid w:val="00FD12C7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6BB6"/>
  <w15:docId w15:val="{2C7F7305-AFFE-42B2-823C-E0574860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39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C1354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AC1354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paragraph" w:styleId="Akapitzlist">
    <w:name w:val="List Paragraph"/>
    <w:basedOn w:val="Normalny"/>
    <w:uiPriority w:val="34"/>
    <w:qFormat/>
    <w:rsid w:val="004D64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B1391"/>
    <w:rPr>
      <w:rFonts w:ascii="Arial" w:eastAsiaTheme="majorEastAsia" w:hAnsi="Arial" w:cstheme="majorBidi"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DD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1726CC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726CC"/>
    <w:rPr>
      <w:rFonts w:eastAsiaTheme="minorEastAsia"/>
      <w:lang w:eastAsia="pl-PL"/>
    </w:rPr>
  </w:style>
  <w:style w:type="paragraph" w:customStyle="1" w:styleId="Default">
    <w:name w:val="Default"/>
    <w:rsid w:val="00D717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4D1C-7667-4184-BD6A-F73EE4C8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do planu  nadzoru pedagogicznego łódzkiego kuratora oświaty na rok szkolny 2021/20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 do Planu Nadzoru Pedagogicznego Łódzkiego Kuratora Oświaty w roku szkolnym 2021/2022</dc:title>
  <dc:creator>Kuratorium Oświaty w Łodzi</dc:creator>
  <cp:lastModifiedBy>AP</cp:lastModifiedBy>
  <cp:revision>2</cp:revision>
  <cp:lastPrinted>2022-04-04T12:40:00Z</cp:lastPrinted>
  <dcterms:created xsi:type="dcterms:W3CDTF">2022-04-08T07:10:00Z</dcterms:created>
  <dcterms:modified xsi:type="dcterms:W3CDTF">2022-04-08T07:10:00Z</dcterms:modified>
</cp:coreProperties>
</file>