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827" w:rsidRDefault="002A6293">
      <w:pPr>
        <w:pStyle w:val="Nagwek2"/>
        <w:tabs>
          <w:tab w:val="left" w:pos="0"/>
        </w:tabs>
        <w:jc w:val="center"/>
      </w:pPr>
      <w:bookmarkStart w:id="0" w:name="_GoBack"/>
      <w:bookmarkEnd w:id="0"/>
      <w:r>
        <w:rPr>
          <w:b/>
          <w:color w:val="auto"/>
        </w:rPr>
        <w:t>UMOWA NR ................./2022</w:t>
      </w:r>
    </w:p>
    <w:p w:rsidR="00B11827" w:rsidRDefault="002A6293">
      <w:pPr>
        <w:pStyle w:val="Nagwek2"/>
        <w:tabs>
          <w:tab w:val="left" w:pos="0"/>
        </w:tabs>
        <w:spacing w:before="0" w:after="240"/>
        <w:jc w:val="center"/>
      </w:pPr>
      <w:r>
        <w:rPr>
          <w:b/>
          <w:color w:val="auto"/>
        </w:rPr>
        <w:t>zawarta w dniu ............................. 2022 r.</w:t>
      </w:r>
    </w:p>
    <w:p w:rsidR="00B11827" w:rsidRDefault="002A6293">
      <w:pPr>
        <w:spacing w:before="240" w:after="240"/>
        <w:jc w:val="both"/>
      </w:pPr>
      <w:r>
        <w:rPr>
          <w:rFonts w:ascii="Calibri Light" w:hAnsi="Calibri Light" w:cs="Times New Roman"/>
          <w:sz w:val="24"/>
          <w:szCs w:val="24"/>
        </w:rPr>
        <w:t xml:space="preserve">Na podstawie art. 150 ustawy z dnia 27 sierpnia 2009 r. o finansach publicznych (Dz. U. z 2021 r. poz. 305 z </w:t>
      </w:r>
      <w:proofErr w:type="spellStart"/>
      <w:r>
        <w:rPr>
          <w:rFonts w:ascii="Calibri Light" w:hAnsi="Calibri Light" w:cs="Times New Roman"/>
          <w:sz w:val="24"/>
          <w:szCs w:val="24"/>
        </w:rPr>
        <w:t>późn</w:t>
      </w:r>
      <w:proofErr w:type="spellEnd"/>
      <w:r>
        <w:rPr>
          <w:rFonts w:ascii="Calibri Light" w:hAnsi="Calibri Light" w:cs="Times New Roman"/>
          <w:sz w:val="24"/>
          <w:szCs w:val="24"/>
        </w:rPr>
        <w:t>. zm.), art. 70a ust. 4-6 ustawy z dnia 26 stycznia 1982 r. – Karta Nauczyciela (</w:t>
      </w:r>
      <w:proofErr w:type="spellStart"/>
      <w:r>
        <w:rPr>
          <w:rFonts w:ascii="Calibri Light" w:hAnsi="Calibri Light" w:cs="Times New Roman"/>
          <w:sz w:val="24"/>
          <w:szCs w:val="24"/>
        </w:rPr>
        <w:t>t.j</w:t>
      </w:r>
      <w:proofErr w:type="spellEnd"/>
      <w:r>
        <w:rPr>
          <w:rFonts w:ascii="Calibri Light" w:hAnsi="Calibri Light" w:cs="Times New Roman"/>
          <w:sz w:val="24"/>
          <w:szCs w:val="24"/>
        </w:rPr>
        <w:t xml:space="preserve">. Dz. U. z 2021 r. poz. 1762) art. 183 ust. 4 ustawy z dnia 14 grudnia 2016 r. Prawo oświatowe (Dz. U. z 2021 r. poz. 1082 z </w:t>
      </w:r>
      <w:proofErr w:type="spellStart"/>
      <w:r>
        <w:rPr>
          <w:rFonts w:ascii="Calibri Light" w:hAnsi="Calibri Light" w:cs="Times New Roman"/>
          <w:sz w:val="24"/>
          <w:szCs w:val="24"/>
        </w:rPr>
        <w:t>późn</w:t>
      </w:r>
      <w:proofErr w:type="spellEnd"/>
      <w:r>
        <w:rPr>
          <w:rFonts w:ascii="Calibri Light" w:hAnsi="Calibri Light" w:cs="Times New Roman"/>
          <w:sz w:val="24"/>
          <w:szCs w:val="24"/>
        </w:rPr>
        <w:t xml:space="preserve">. zm.) i § 12 ust. 4 i  § 25 rozporządzenia Ministra Edukacji Narodowej z dnia 28 maja 2019 r. w sprawie placówek doskonalenia nauczycieli (Dz. U. z 2019 r. poz. 1045 z </w:t>
      </w:r>
      <w:proofErr w:type="spellStart"/>
      <w:r>
        <w:rPr>
          <w:rFonts w:ascii="Calibri Light" w:hAnsi="Calibri Light" w:cs="Times New Roman"/>
          <w:sz w:val="24"/>
          <w:szCs w:val="24"/>
        </w:rPr>
        <w:t>późn</w:t>
      </w:r>
      <w:proofErr w:type="spellEnd"/>
      <w:r>
        <w:rPr>
          <w:rFonts w:ascii="Calibri Light" w:hAnsi="Calibri Light" w:cs="Times New Roman"/>
          <w:sz w:val="24"/>
          <w:szCs w:val="24"/>
        </w:rPr>
        <w:t>. zm.) oraz na podstawie Porozumienia z dnia 25 września 2019 r. w sprawie powierzenia realizacji zadań związanych z udzielaniem dotacji celowej jednostkom samorządu terytorialnego na wspieranie organizacji doradztwa metodycznego na obszarze województwa łódzkiego zawartego pomiędzy Wojewodą Łódzkim, a Łódzkim Kuratorem Oświaty, zawarta zostaje umowa, zwana dalej „umową” pomiędzy:</w:t>
      </w:r>
    </w:p>
    <w:p w:rsidR="00B11827" w:rsidRDefault="002A6293">
      <w:pPr>
        <w:spacing w:before="240" w:after="240"/>
        <w:jc w:val="both"/>
      </w:pPr>
      <w:r>
        <w:rPr>
          <w:rFonts w:ascii="Calibri Light" w:hAnsi="Calibri Light" w:cs="Times New Roman"/>
          <w:sz w:val="24"/>
          <w:szCs w:val="24"/>
        </w:rPr>
        <w:t xml:space="preserve">Łódzkim Kuratorem Oświaty – Waldemarem </w:t>
      </w:r>
      <w:proofErr w:type="spellStart"/>
      <w:r>
        <w:rPr>
          <w:rFonts w:ascii="Calibri Light" w:hAnsi="Calibri Light" w:cs="Times New Roman"/>
          <w:sz w:val="24"/>
          <w:szCs w:val="24"/>
        </w:rPr>
        <w:t>Flajszerem</w:t>
      </w:r>
      <w:proofErr w:type="spellEnd"/>
      <w:r>
        <w:rPr>
          <w:rFonts w:ascii="Calibri Light" w:hAnsi="Calibri Light" w:cs="Times New Roman"/>
          <w:sz w:val="24"/>
          <w:szCs w:val="24"/>
        </w:rPr>
        <w:t>, działającym w imieniu Wojewody Łódzkiego – Tobiasza Bocheńskiego na podstawie Porozumienia zawartego w dniu 25 września 2019 r. w sprawie powierzenia realizacji zadań związanych z udzielaniem dotacji celowej jednostkom samorządu terytorialnego na wspieranie organizacji doradztwa metodycznego na obszarze województwa łódzkiego,</w:t>
      </w:r>
    </w:p>
    <w:p w:rsidR="00B11827" w:rsidRDefault="002A6293">
      <w:pPr>
        <w:spacing w:before="240" w:after="240"/>
        <w:jc w:val="both"/>
      </w:pPr>
      <w:r>
        <w:rPr>
          <w:rFonts w:ascii="Calibri Light" w:hAnsi="Calibri Light" w:cs="Times New Roman"/>
          <w:sz w:val="24"/>
          <w:szCs w:val="24"/>
        </w:rPr>
        <w:t>zwanym dalej „Kuratorem”</w:t>
      </w:r>
    </w:p>
    <w:p w:rsidR="00B11827" w:rsidRDefault="002A6293">
      <w:pPr>
        <w:spacing w:line="360" w:lineRule="auto"/>
      </w:pPr>
      <w:r>
        <w:rPr>
          <w:rFonts w:ascii="Calibri Light" w:hAnsi="Calibri Light" w:cs="Times New Roman"/>
          <w:sz w:val="24"/>
          <w:szCs w:val="24"/>
        </w:rPr>
        <w:t>a …………………………………………………………………………………………………………………………………………….</w:t>
      </w:r>
      <w:r>
        <w:rPr>
          <w:rFonts w:ascii="Calibri Light" w:hAnsi="Calibri Light" w:cs="Times New Roman"/>
          <w:i/>
          <w:iCs/>
          <w:sz w:val="21"/>
          <w:szCs w:val="21"/>
        </w:rPr>
        <w:t xml:space="preserve"> (Gminą/Powiatem/ Województwem)</w:t>
      </w:r>
    </w:p>
    <w:p w:rsidR="00B11827" w:rsidRDefault="002A6293">
      <w:pPr>
        <w:spacing w:line="360" w:lineRule="auto"/>
      </w:pPr>
      <w:r>
        <w:rPr>
          <w:rFonts w:ascii="Calibri Light" w:hAnsi="Calibri Light" w:cs="Times New Roman"/>
          <w:sz w:val="24"/>
          <w:szCs w:val="24"/>
        </w:rPr>
        <w:t>reprezentowaną/</w:t>
      </w:r>
      <w:proofErr w:type="spellStart"/>
      <w:r>
        <w:rPr>
          <w:rFonts w:ascii="Calibri Light" w:hAnsi="Calibri Light" w:cs="Times New Roman"/>
          <w:sz w:val="24"/>
          <w:szCs w:val="24"/>
        </w:rPr>
        <w:t>ym</w:t>
      </w:r>
      <w:proofErr w:type="spellEnd"/>
      <w:r>
        <w:rPr>
          <w:rFonts w:ascii="Calibri Light" w:hAnsi="Calibri Light" w:cs="Times New Roman"/>
          <w:sz w:val="24"/>
          <w:szCs w:val="24"/>
        </w:rPr>
        <w:t xml:space="preserve"> przez: …………………………………………………………………………………………………………………………………………………………………………………………………………………………………………………………………………………………………</w:t>
      </w:r>
      <w:r>
        <w:t>…</w:t>
      </w:r>
      <w:r>
        <w:rPr>
          <w:rFonts w:ascii="Calibri Light" w:hAnsi="Calibri Light" w:cs="Times New Roman"/>
          <w:sz w:val="24"/>
          <w:szCs w:val="24"/>
        </w:rPr>
        <w:t>przy kontrasygnacie Skarbnika ………………………………………………………………………………………………………………………………………………….zwaną/</w:t>
      </w:r>
      <w:proofErr w:type="spellStart"/>
      <w:r>
        <w:rPr>
          <w:rFonts w:ascii="Calibri Light" w:hAnsi="Calibri Light" w:cs="Times New Roman"/>
          <w:sz w:val="24"/>
          <w:szCs w:val="24"/>
        </w:rPr>
        <w:t>ym</w:t>
      </w:r>
      <w:proofErr w:type="spellEnd"/>
      <w:r>
        <w:rPr>
          <w:rFonts w:ascii="Calibri Light" w:hAnsi="Calibri Light" w:cs="Times New Roman"/>
          <w:sz w:val="24"/>
          <w:szCs w:val="24"/>
        </w:rPr>
        <w:t xml:space="preserve"> dalej „Beneficjentem”</w:t>
      </w:r>
    </w:p>
    <w:p w:rsidR="00B11827" w:rsidRPr="00D9038D" w:rsidRDefault="002A6293">
      <w:pPr>
        <w:spacing w:line="360" w:lineRule="auto"/>
      </w:pPr>
      <w:r w:rsidRPr="00D9038D">
        <w:rPr>
          <w:rFonts w:ascii="Calibri Light" w:hAnsi="Calibri Light" w:cs="Times New Roman"/>
          <w:sz w:val="24"/>
          <w:szCs w:val="24"/>
        </w:rPr>
        <w:t>obydwoje nazywani „stronami”</w:t>
      </w:r>
    </w:p>
    <w:p w:rsidR="00B11827" w:rsidRDefault="002A6293">
      <w:pPr>
        <w:spacing w:line="360" w:lineRule="auto"/>
      </w:pPr>
      <w:r>
        <w:rPr>
          <w:rFonts w:ascii="Calibri Light" w:hAnsi="Calibri Light" w:cs="Times New Roman"/>
          <w:sz w:val="24"/>
          <w:szCs w:val="24"/>
        </w:rPr>
        <w:t>o następującej treści:</w:t>
      </w:r>
    </w:p>
    <w:p w:rsidR="00B11827" w:rsidRDefault="002A6293">
      <w:pPr>
        <w:pStyle w:val="Nagwek1"/>
        <w:tabs>
          <w:tab w:val="left" w:pos="0"/>
        </w:tabs>
        <w:jc w:val="center"/>
        <w:rPr>
          <w:color w:val="auto"/>
        </w:rPr>
      </w:pPr>
      <w:r>
        <w:rPr>
          <w:color w:val="auto"/>
        </w:rPr>
        <w:t>§ 1</w:t>
      </w:r>
    </w:p>
    <w:p w:rsidR="00B11827" w:rsidRDefault="002A6293">
      <w:pPr>
        <w:ind w:left="708"/>
        <w:jc w:val="both"/>
      </w:pPr>
      <w:r>
        <w:rPr>
          <w:rFonts w:ascii="Calibri Light" w:hAnsi="Calibri Light" w:cs="Times New Roman"/>
          <w:sz w:val="24"/>
          <w:szCs w:val="24"/>
        </w:rPr>
        <w:t xml:space="preserve">Przedmiotem umowy jest udzielenie Beneficjentowi w 2022 r. dotacji celowej, zwanej dalej „dotacją” z przeznaczeniem na finansowanie wydatków związanych z zatrudnieniem nauczycieli w celu realizacji zadań doradcy metodycznego.  </w:t>
      </w:r>
    </w:p>
    <w:p w:rsidR="00B11827" w:rsidRDefault="002A6293">
      <w:pPr>
        <w:jc w:val="center"/>
      </w:pPr>
      <w:r>
        <w:rPr>
          <w:rStyle w:val="Nagwek1Znak"/>
          <w:color w:val="auto"/>
        </w:rPr>
        <w:t>§ 2</w:t>
      </w:r>
    </w:p>
    <w:p w:rsidR="00B11827" w:rsidRDefault="002A6293">
      <w:pPr>
        <w:numPr>
          <w:ilvl w:val="0"/>
          <w:numId w:val="11"/>
        </w:numPr>
        <w:spacing w:before="240"/>
        <w:jc w:val="both"/>
      </w:pPr>
      <w:r>
        <w:rPr>
          <w:rFonts w:ascii="Calibri Light" w:hAnsi="Calibri Light" w:cs="Times New Roman"/>
          <w:sz w:val="24"/>
          <w:szCs w:val="24"/>
        </w:rPr>
        <w:t>Beneficjentowi zostanie udzielona dotacja, zgodnie z wnioskiem w sprawie przekazania dotacji celowej przeznaczonej na finansowanie wydatków związanych z zatrudnieniem nauczycieli w celu realizacji zadań doradcy metodycznego. Wzór wniosku stanowi załącznik nr 1 do umowy.</w:t>
      </w:r>
    </w:p>
    <w:p w:rsidR="00B11827" w:rsidRDefault="002A6293">
      <w:pPr>
        <w:numPr>
          <w:ilvl w:val="0"/>
          <w:numId w:val="2"/>
        </w:numPr>
        <w:jc w:val="both"/>
      </w:pPr>
      <w:r>
        <w:rPr>
          <w:rFonts w:ascii="Calibri Light" w:hAnsi="Calibri Light" w:cs="Times New Roman"/>
          <w:sz w:val="24"/>
          <w:szCs w:val="24"/>
        </w:rPr>
        <w:lastRenderedPageBreak/>
        <w:t>Wykaz doradców metodycznych, których wydatki związane z zatrudnieniem są pokrywane w 2022 r. z dotacji celowej stanowi załącznik nr 2 do umowy.</w:t>
      </w:r>
    </w:p>
    <w:p w:rsidR="00B11827" w:rsidRDefault="002A6293">
      <w:pPr>
        <w:numPr>
          <w:ilvl w:val="0"/>
          <w:numId w:val="2"/>
        </w:numPr>
        <w:jc w:val="both"/>
      </w:pPr>
      <w:r>
        <w:rPr>
          <w:rFonts w:ascii="Calibri Light" w:hAnsi="Calibri Light" w:cs="Times New Roman"/>
          <w:sz w:val="24"/>
          <w:szCs w:val="24"/>
        </w:rPr>
        <w:t>Przez wydatki związane z zatrudnieniem nauczycieli w celu realizacji zadań doradcy metodycznego rozumie się:</w:t>
      </w:r>
    </w:p>
    <w:p w:rsidR="00B11827" w:rsidRDefault="002A6293">
      <w:pPr>
        <w:numPr>
          <w:ilvl w:val="0"/>
          <w:numId w:val="12"/>
        </w:numPr>
        <w:jc w:val="both"/>
      </w:pPr>
      <w:r>
        <w:rPr>
          <w:rFonts w:ascii="Calibri Light" w:hAnsi="Calibri Light" w:cs="Times New Roman"/>
          <w:sz w:val="24"/>
          <w:szCs w:val="24"/>
        </w:rPr>
        <w:t>wynagrodzenie nauczycieli pełniących funkcję doradcy metodycznego;</w:t>
      </w:r>
    </w:p>
    <w:p w:rsidR="00B11827" w:rsidRDefault="002A6293">
      <w:pPr>
        <w:numPr>
          <w:ilvl w:val="0"/>
          <w:numId w:val="3"/>
        </w:numPr>
        <w:jc w:val="both"/>
      </w:pPr>
      <w:r>
        <w:rPr>
          <w:rFonts w:ascii="Calibri Light" w:hAnsi="Calibri Light" w:cs="Times New Roman"/>
          <w:sz w:val="24"/>
          <w:szCs w:val="24"/>
        </w:rPr>
        <w:t>pochodne od wynagrodzeń (składki na ubezpieczenie społeczne i Fundusz Pracy, podatek dochodowy od osób fizycznych);</w:t>
      </w:r>
    </w:p>
    <w:p w:rsidR="00B11827" w:rsidRDefault="002A6293">
      <w:pPr>
        <w:numPr>
          <w:ilvl w:val="0"/>
          <w:numId w:val="3"/>
        </w:numPr>
        <w:jc w:val="both"/>
      </w:pPr>
      <w:r>
        <w:rPr>
          <w:rFonts w:ascii="Calibri Light" w:hAnsi="Calibri Light" w:cs="Times New Roman"/>
          <w:sz w:val="24"/>
          <w:szCs w:val="24"/>
        </w:rPr>
        <w:t>odpis na Zakładowy Fundusz Świadczeń Socjalnych w wysokości proporcjonalnej do wymiaru etatu doradcy metodycznego;</w:t>
      </w:r>
    </w:p>
    <w:p w:rsidR="00B11827" w:rsidRDefault="002A6293">
      <w:pPr>
        <w:numPr>
          <w:ilvl w:val="0"/>
          <w:numId w:val="3"/>
        </w:numPr>
        <w:jc w:val="both"/>
      </w:pPr>
      <w:r>
        <w:rPr>
          <w:rFonts w:ascii="Calibri Light" w:hAnsi="Calibri Light" w:cs="Times New Roman"/>
          <w:sz w:val="24"/>
          <w:szCs w:val="24"/>
        </w:rPr>
        <w:t>wydatki na obowiązkowe badania z zakresu medycyny pracy.</w:t>
      </w:r>
    </w:p>
    <w:p w:rsidR="00B11827" w:rsidRDefault="002A6293">
      <w:pPr>
        <w:numPr>
          <w:ilvl w:val="0"/>
          <w:numId w:val="13"/>
        </w:numPr>
        <w:jc w:val="both"/>
      </w:pPr>
      <w:r>
        <w:rPr>
          <w:rFonts w:ascii="Calibri Light" w:hAnsi="Calibri Light" w:cs="Times New Roman"/>
          <w:sz w:val="24"/>
          <w:szCs w:val="24"/>
        </w:rPr>
        <w:t>Dotacja w wysokości ……….….. zł (</w:t>
      </w:r>
      <w:r>
        <w:rPr>
          <w:rFonts w:ascii="Calibri Light" w:hAnsi="Calibri Light" w:cs="Times New Roman"/>
          <w:i/>
          <w:iCs/>
          <w:sz w:val="24"/>
          <w:szCs w:val="24"/>
        </w:rPr>
        <w:t>słownie: ……………………. złotych</w:t>
      </w:r>
      <w:r>
        <w:rPr>
          <w:rFonts w:ascii="Calibri Light" w:hAnsi="Calibri Light" w:cs="Times New Roman"/>
          <w:sz w:val="24"/>
          <w:szCs w:val="24"/>
        </w:rPr>
        <w:t>) zostanie przekazana przez Wojewodę Łódzkiego w transzach miesięcznych, za pełny miesiąc na podstawie zapotrzebowania finansowego przesłanego przez Kuratorium Oświaty w Łodzi, w dziale 801, w rozdziale 80146, w paragrafie …….. na dotacyjny rachunek bankowy Beneficjenta, z wyjątkiem pierwszej transzy, obejmującej okres wykonania przedmiotu umowy przez Beneficjenta od dnia 1 stycznia 2022 r. do ostatniego dnia miesiąca, w którym umowa została zawarta. Przekazanie dotacji celowej uzależnione jest od dostępności środków finansowych na rachunku bankowym Wojewody Łódzkiego.</w:t>
      </w:r>
    </w:p>
    <w:p w:rsidR="00B11827" w:rsidRDefault="002A6293">
      <w:pPr>
        <w:numPr>
          <w:ilvl w:val="0"/>
          <w:numId w:val="13"/>
        </w:numPr>
        <w:jc w:val="both"/>
      </w:pPr>
      <w:r>
        <w:rPr>
          <w:rFonts w:ascii="Calibri Light" w:hAnsi="Calibri Light" w:cs="Times New Roman"/>
          <w:sz w:val="24"/>
          <w:szCs w:val="24"/>
        </w:rPr>
        <w:t>Wnioski zawierające zapotrzebowania na środki finansowe na miesiąc następny wraz z aktualnym wykazem doradców metodycznych (załącznik nr 2 do niniejszej umowy) należy złożyć do Kuratorium Oświaty w Łodzi (al. Tadeusza Kościuszki 120a, 90–446 Łódź), w terminie do 15-go każdego miesiąca poprzedzającego miesiąc docelowy. Wzór wniosku określa załącznik nr 1 do niniejszej umowy.</w:t>
      </w:r>
    </w:p>
    <w:p w:rsidR="00B11827" w:rsidRDefault="002A6293">
      <w:pPr>
        <w:numPr>
          <w:ilvl w:val="0"/>
          <w:numId w:val="13"/>
        </w:numPr>
        <w:jc w:val="both"/>
      </w:pPr>
      <w:r>
        <w:rPr>
          <w:rFonts w:ascii="Calibri Light" w:hAnsi="Calibri Light" w:cs="Times New Roman"/>
          <w:sz w:val="24"/>
          <w:szCs w:val="24"/>
        </w:rPr>
        <w:t>Za dzień przekazania dotacji uznaje się dzień obciążenia rachunku Wojewody Łódzkiego.</w:t>
      </w:r>
    </w:p>
    <w:p w:rsidR="00B11827" w:rsidRDefault="002A6293">
      <w:pPr>
        <w:pStyle w:val="Nagwek1"/>
        <w:tabs>
          <w:tab w:val="left" w:pos="0"/>
        </w:tabs>
        <w:jc w:val="center"/>
        <w:rPr>
          <w:color w:val="auto"/>
        </w:rPr>
      </w:pPr>
      <w:r>
        <w:rPr>
          <w:color w:val="auto"/>
        </w:rPr>
        <w:t>§ 3</w:t>
      </w:r>
    </w:p>
    <w:p w:rsidR="00B11827" w:rsidRDefault="002A6293">
      <w:pPr>
        <w:ind w:left="708"/>
        <w:jc w:val="both"/>
      </w:pPr>
      <w:r>
        <w:rPr>
          <w:rFonts w:ascii="Calibri Light" w:hAnsi="Calibri Light" w:cs="Times New Roman"/>
          <w:sz w:val="24"/>
          <w:szCs w:val="24"/>
        </w:rPr>
        <w:t>Beneficjent zobowiązuje się do wykorzystania dotacji, zgodnie z celem, na jaki ją uzyskał i na warunkach określonych w niniejszej umowie. Dotyczy to także ewentualnych przychodów uzyskanych przy realizacji umowy, których nie można było przewidzieć przy kalkulowaniu wysokości dotacji oraz odsetek bankowych od przekazanych przez Wojewodę Łódzkiego środków, które należy wykorzystać wyłącznie na realizację przedmiotu umowy.</w:t>
      </w:r>
    </w:p>
    <w:p w:rsidR="00B11827" w:rsidRDefault="002A6293">
      <w:pPr>
        <w:pStyle w:val="Nagwek1"/>
        <w:tabs>
          <w:tab w:val="left" w:pos="0"/>
        </w:tabs>
        <w:jc w:val="center"/>
        <w:rPr>
          <w:color w:val="auto"/>
        </w:rPr>
      </w:pPr>
      <w:r>
        <w:rPr>
          <w:color w:val="auto"/>
        </w:rPr>
        <w:t>§ 4</w:t>
      </w:r>
    </w:p>
    <w:p w:rsidR="00B11827" w:rsidRDefault="002A6293">
      <w:pPr>
        <w:ind w:left="708"/>
        <w:jc w:val="both"/>
      </w:pPr>
      <w:r>
        <w:rPr>
          <w:rFonts w:ascii="Calibri Light" w:hAnsi="Calibri Light" w:cs="Times New Roman"/>
          <w:sz w:val="24"/>
          <w:szCs w:val="24"/>
        </w:rPr>
        <w:t>Beneficjent jest zobowiązany wykorzystać dotację celową, o której mowa w § 2 ust. 4 w okresie do dnia 31 grudnia 2022 r.</w:t>
      </w:r>
    </w:p>
    <w:p w:rsidR="00B11827" w:rsidRDefault="002A6293">
      <w:pPr>
        <w:pStyle w:val="Nagwek1"/>
        <w:tabs>
          <w:tab w:val="left" w:pos="0"/>
        </w:tabs>
        <w:jc w:val="center"/>
        <w:rPr>
          <w:color w:val="auto"/>
        </w:rPr>
      </w:pPr>
      <w:r>
        <w:rPr>
          <w:color w:val="auto"/>
        </w:rPr>
        <w:t>§ 5</w:t>
      </w:r>
    </w:p>
    <w:p w:rsidR="00B11827" w:rsidRDefault="002A6293">
      <w:pPr>
        <w:numPr>
          <w:ilvl w:val="0"/>
          <w:numId w:val="14"/>
        </w:numPr>
        <w:jc w:val="both"/>
      </w:pPr>
      <w:r>
        <w:rPr>
          <w:rFonts w:ascii="Calibri Light" w:hAnsi="Calibri Light" w:cs="Times New Roman"/>
          <w:sz w:val="24"/>
          <w:szCs w:val="24"/>
        </w:rPr>
        <w:t>Środki finansowe niewykorzystane do dnia 31 grudnia 2022 r. Beneficjent zobowiązany jest zwrócić w nieprzekraczalnym terminie do dnia 15 stycznia 2023 r. na bieżący rachunek wydatków dysponenta części budżetowej 85/10 -województwo łódzkie – NBP O/O Łódź Nr: 09 1010 1371 0022 1922 3000 0000.</w:t>
      </w:r>
    </w:p>
    <w:p w:rsidR="00B11827" w:rsidRDefault="002A6293">
      <w:pPr>
        <w:numPr>
          <w:ilvl w:val="0"/>
          <w:numId w:val="4"/>
        </w:numPr>
        <w:jc w:val="both"/>
      </w:pPr>
      <w:r>
        <w:rPr>
          <w:rFonts w:ascii="Calibri Light" w:hAnsi="Calibri Light" w:cs="Times New Roman"/>
          <w:sz w:val="24"/>
          <w:szCs w:val="24"/>
        </w:rPr>
        <w:t xml:space="preserve">W przypadku uchybienia terminu, o którym mowa w ust. 1 zwrot niewykorzystanej dotacji celowej do budżetu państwa następuje wraz z odsetkami w wysokości określonej </w:t>
      </w:r>
      <w:r>
        <w:rPr>
          <w:rFonts w:ascii="Calibri Light" w:hAnsi="Calibri Light" w:cs="Times New Roman"/>
          <w:sz w:val="24"/>
          <w:szCs w:val="24"/>
        </w:rPr>
        <w:lastRenderedPageBreak/>
        <w:t>jak dla zaległości podatkowych naliczonymi do dnia wpłaty na rachunek bieżący dochodów dysponenta części budżetowej 85/10 – województwo łódzkie – NBP O/O Łódź Nr 56 1010 1371 0022 1922 3100 0000 w zakresie należności głównej oraz odsetek liczonych jak od zaległości podatkowych.</w:t>
      </w:r>
    </w:p>
    <w:p w:rsidR="00B11827" w:rsidRDefault="002A6293">
      <w:pPr>
        <w:numPr>
          <w:ilvl w:val="0"/>
          <w:numId w:val="4"/>
        </w:numPr>
        <w:jc w:val="both"/>
      </w:pPr>
      <w:r>
        <w:rPr>
          <w:rFonts w:ascii="Calibri Light" w:hAnsi="Calibri Light" w:cs="Times New Roman"/>
          <w:sz w:val="24"/>
          <w:szCs w:val="24"/>
        </w:rPr>
        <w:t>Środki z dotacji celowej, o której mowa w § 2 ust. 4 umowy wykorzystane niezgodnie z przeznaczeniem, pobrane nienależnie lub w nadmiernej wysokości podlegają zwrotowi do budżetu państwa wraz z odsetkami w wysokości określonej jak dla zaległości podatkowych, na zasadach określonych w art. 169 ustawy z dnia 27 sierpnia 2009 r. o finansach publicznych.</w:t>
      </w:r>
    </w:p>
    <w:p w:rsidR="00B11827" w:rsidRDefault="002A6293">
      <w:pPr>
        <w:numPr>
          <w:ilvl w:val="0"/>
          <w:numId w:val="4"/>
        </w:numPr>
        <w:jc w:val="both"/>
      </w:pPr>
      <w:r>
        <w:rPr>
          <w:rFonts w:ascii="Calibri Light" w:hAnsi="Calibri Light" w:cs="Times New Roman"/>
          <w:sz w:val="24"/>
          <w:szCs w:val="24"/>
        </w:rPr>
        <w:t xml:space="preserve">Każdorazowy zwrot środków należy potwierdzić doręczając osobiście lub przesyłając do Kuratorium Oświaty w Łodzi oraz do Łódzkiego Urzędu Wojewódzkiego w Łodzi Wydziału Finansów i Budżetu pismo za pośrednictwem poczty tradycyjnej lub elektronicznie z wykorzystaniem platformy </w:t>
      </w:r>
      <w:proofErr w:type="spellStart"/>
      <w:r>
        <w:rPr>
          <w:rFonts w:ascii="Calibri Light" w:hAnsi="Calibri Light" w:cs="Times New Roman"/>
          <w:sz w:val="24"/>
          <w:szCs w:val="24"/>
        </w:rPr>
        <w:t>ePUAP</w:t>
      </w:r>
      <w:proofErr w:type="spellEnd"/>
      <w:r>
        <w:rPr>
          <w:rFonts w:ascii="Calibri Light" w:hAnsi="Calibri Light" w:cs="Times New Roman"/>
          <w:sz w:val="24"/>
          <w:szCs w:val="24"/>
        </w:rPr>
        <w:t xml:space="preserve"> na adres skrytki: /</w:t>
      </w:r>
      <w:proofErr w:type="spellStart"/>
      <w:r>
        <w:rPr>
          <w:rFonts w:ascii="Calibri Light" w:hAnsi="Calibri Light" w:cs="Times New Roman"/>
          <w:sz w:val="24"/>
          <w:szCs w:val="24"/>
        </w:rPr>
        <w:t>lodzuw</w:t>
      </w:r>
      <w:proofErr w:type="spellEnd"/>
      <w:r>
        <w:rPr>
          <w:rFonts w:ascii="Calibri Light" w:hAnsi="Calibri Light" w:cs="Times New Roman"/>
          <w:sz w:val="24"/>
          <w:szCs w:val="24"/>
        </w:rPr>
        <w:t>/skrytka.</w:t>
      </w:r>
    </w:p>
    <w:p w:rsidR="00B11827" w:rsidRDefault="002A6293">
      <w:pPr>
        <w:ind w:left="720"/>
        <w:jc w:val="both"/>
      </w:pPr>
      <w:r>
        <w:rPr>
          <w:rFonts w:ascii="Calibri Light" w:hAnsi="Calibri Light" w:cs="Times New Roman"/>
          <w:sz w:val="24"/>
          <w:szCs w:val="24"/>
        </w:rPr>
        <w:t>W piśmie należy wyszczególnić: numer umowy oraz szczegółowy opis tytułu zwrotu środków finansowych ze wskazaniem należności głównej i odsetek w wysokości określonej jak dla zaległości podatkowych.</w:t>
      </w:r>
    </w:p>
    <w:p w:rsidR="00B11827" w:rsidRDefault="002A6293">
      <w:pPr>
        <w:numPr>
          <w:ilvl w:val="0"/>
          <w:numId w:val="4"/>
        </w:numPr>
        <w:jc w:val="both"/>
      </w:pPr>
      <w:r>
        <w:rPr>
          <w:rFonts w:ascii="Calibri Light" w:hAnsi="Calibri Light" w:cs="Times New Roman"/>
          <w:sz w:val="24"/>
          <w:szCs w:val="24"/>
        </w:rPr>
        <w:t xml:space="preserve">W przypadku niedokonania zwrotu dotacji celowej – wykorzystanej niezgodnie z przeznaczeniem, pobranej nienależnie bądź pobranej w nadmiernej wysokości – wszczęte zostanie postępowanie administracyjne na podstawie przepisów ustawy z dnia 14 czerwca 1960 r. Kodeks postępowania administracyjnego (Dz. U. z 2021 r. poz. 735 z </w:t>
      </w:r>
      <w:proofErr w:type="spellStart"/>
      <w:r>
        <w:rPr>
          <w:rFonts w:ascii="Calibri Light" w:hAnsi="Calibri Light" w:cs="Times New Roman"/>
          <w:sz w:val="24"/>
          <w:szCs w:val="24"/>
        </w:rPr>
        <w:t>późn</w:t>
      </w:r>
      <w:proofErr w:type="spellEnd"/>
      <w:r>
        <w:rPr>
          <w:rFonts w:ascii="Calibri Light" w:hAnsi="Calibri Light" w:cs="Times New Roman"/>
          <w:sz w:val="24"/>
          <w:szCs w:val="24"/>
        </w:rPr>
        <w:t xml:space="preserve">. zm.) oraz ustawy z dnia 27 sierpnia 2009 r. o finansach publicznych, a w dalszej kolejności postępowanie egzekucyjne na podstawie ustawy z dnia 17 czerwca 1966 r. o postępowaniu egzekucyjnym w administracji (Dz. U. 2020 r., poz. 1427 z </w:t>
      </w:r>
      <w:proofErr w:type="spellStart"/>
      <w:r>
        <w:rPr>
          <w:rFonts w:ascii="Calibri Light" w:hAnsi="Calibri Light" w:cs="Times New Roman"/>
          <w:sz w:val="24"/>
          <w:szCs w:val="24"/>
        </w:rPr>
        <w:t>późn</w:t>
      </w:r>
      <w:proofErr w:type="spellEnd"/>
      <w:r>
        <w:rPr>
          <w:rFonts w:ascii="Calibri Light" w:hAnsi="Calibri Light" w:cs="Times New Roman"/>
          <w:sz w:val="24"/>
          <w:szCs w:val="24"/>
        </w:rPr>
        <w:t>. zm.).</w:t>
      </w:r>
    </w:p>
    <w:p w:rsidR="00B11827" w:rsidRDefault="002A6293">
      <w:pPr>
        <w:pStyle w:val="Nagwek1"/>
        <w:tabs>
          <w:tab w:val="left" w:pos="0"/>
        </w:tabs>
        <w:jc w:val="center"/>
        <w:rPr>
          <w:color w:val="auto"/>
        </w:rPr>
      </w:pPr>
      <w:r>
        <w:rPr>
          <w:color w:val="auto"/>
        </w:rPr>
        <w:t>§ 6</w:t>
      </w:r>
    </w:p>
    <w:p w:rsidR="00B11827" w:rsidRDefault="002A6293">
      <w:pPr>
        <w:numPr>
          <w:ilvl w:val="0"/>
          <w:numId w:val="15"/>
        </w:numPr>
        <w:jc w:val="both"/>
      </w:pPr>
      <w:r>
        <w:rPr>
          <w:rFonts w:ascii="Calibri Light" w:hAnsi="Calibri Light" w:cs="Times New Roman"/>
          <w:sz w:val="24"/>
          <w:szCs w:val="24"/>
        </w:rPr>
        <w:t>Beneficjent zobowiązany jest do sporządzenia sprawozdania końcowego z realizacji przedmiotu umowy określonego w § 1 umowy i przekazania go Łódzkiemu Kuratorowi Oświaty (adres siedziby: al. Kościuszki 120a, 90-446 Łódź) w terminie do dnia 15 stycznia 2023 r. (decyduje data wpływu do Kuratorium Oświaty w Łodzi). Wzór sprawozdania określa załącznik Nr 3 do umowy.</w:t>
      </w:r>
    </w:p>
    <w:p w:rsidR="00B11827" w:rsidRDefault="002A6293">
      <w:pPr>
        <w:numPr>
          <w:ilvl w:val="0"/>
          <w:numId w:val="5"/>
        </w:numPr>
        <w:jc w:val="both"/>
      </w:pPr>
      <w:r>
        <w:rPr>
          <w:rFonts w:ascii="Calibri Light" w:hAnsi="Calibri Light" w:cs="Times New Roman"/>
          <w:sz w:val="24"/>
          <w:szCs w:val="24"/>
        </w:rPr>
        <w:t xml:space="preserve">Sprawozdanie, o którym mowa w ust. 1, winno być podpisane przez osoby </w:t>
      </w:r>
      <w:r w:rsidRPr="00D9038D">
        <w:rPr>
          <w:rFonts w:ascii="Calibri Light" w:hAnsi="Calibri Light" w:cs="Times New Roman"/>
          <w:sz w:val="24"/>
          <w:szCs w:val="24"/>
        </w:rPr>
        <w:t xml:space="preserve">upoważnione </w:t>
      </w:r>
      <w:r>
        <w:rPr>
          <w:rFonts w:ascii="Calibri Light" w:hAnsi="Calibri Light" w:cs="Times New Roman"/>
          <w:sz w:val="24"/>
          <w:szCs w:val="24"/>
        </w:rPr>
        <w:t>do reprezentowania Beneficjenta.</w:t>
      </w:r>
    </w:p>
    <w:p w:rsidR="00B11827" w:rsidRDefault="002A6293">
      <w:pPr>
        <w:numPr>
          <w:ilvl w:val="0"/>
          <w:numId w:val="5"/>
        </w:numPr>
        <w:jc w:val="both"/>
      </w:pPr>
      <w:r>
        <w:rPr>
          <w:rFonts w:ascii="Calibri Light" w:hAnsi="Calibri Light" w:cs="Times New Roman"/>
          <w:sz w:val="24"/>
          <w:szCs w:val="24"/>
        </w:rPr>
        <w:t>Kurator ma prawo żądać, aby Beneficjent w wyznaczonym przez niego terminie przedstawił dodatkowe informacje, wyjaśnienia oraz dowody do sprawozdania, o którym mowa w ust. 1.</w:t>
      </w:r>
    </w:p>
    <w:p w:rsidR="00B11827" w:rsidRDefault="002A6293">
      <w:pPr>
        <w:numPr>
          <w:ilvl w:val="0"/>
          <w:numId w:val="5"/>
        </w:numPr>
        <w:jc w:val="both"/>
      </w:pPr>
      <w:r>
        <w:rPr>
          <w:rFonts w:ascii="Calibri Light" w:hAnsi="Calibri Light" w:cs="Times New Roman"/>
          <w:sz w:val="24"/>
          <w:szCs w:val="24"/>
        </w:rPr>
        <w:t>W przypadku niedotrzymania terminu, o którym mowa w ust. 1 przewidzianego na złożenie sprawozdania, zostanie naliczona kara umowna w wysokości 0,1 % dziennie od kwoty przyznanej dotacji, określonej w § 2 ust. 4. Wysokość kary nie może przekroczyć kwoty przyznanej dotacji.</w:t>
      </w:r>
    </w:p>
    <w:p w:rsidR="00B11827" w:rsidRDefault="002A6293">
      <w:pPr>
        <w:numPr>
          <w:ilvl w:val="0"/>
          <w:numId w:val="5"/>
        </w:numPr>
        <w:jc w:val="both"/>
      </w:pPr>
      <w:r>
        <w:rPr>
          <w:rFonts w:ascii="Calibri Light" w:hAnsi="Calibri Light" w:cs="Times New Roman"/>
          <w:sz w:val="24"/>
          <w:szCs w:val="24"/>
        </w:rPr>
        <w:t>W przypadku niezłożenia sprawozdania końcowego w terminie wskazanym w ust. 1, Kurator wzywa pisemnie Beneficjenta do jego złożenia w terminie 7 dni od dnia otrzymania wezwania.</w:t>
      </w:r>
    </w:p>
    <w:p w:rsidR="00B11827" w:rsidRDefault="002A6293">
      <w:pPr>
        <w:numPr>
          <w:ilvl w:val="0"/>
          <w:numId w:val="5"/>
        </w:numPr>
        <w:jc w:val="both"/>
      </w:pPr>
      <w:r>
        <w:rPr>
          <w:rFonts w:ascii="Calibri Light" w:hAnsi="Calibri Light" w:cs="Times New Roman"/>
          <w:sz w:val="24"/>
          <w:szCs w:val="24"/>
        </w:rPr>
        <w:t>Niezastosowanie się do wezwania, o którym mowa w ust. 5 skutkuje uznaniem dotacji celowej za wykorzystaną niezgodnie z przeznaczeniem na zasadach, o których mowa w ustawie z dnia 27 sierpnia 2009 r. o finansach publicznych.</w:t>
      </w:r>
    </w:p>
    <w:p w:rsidR="00B11827" w:rsidRDefault="002A6293">
      <w:pPr>
        <w:numPr>
          <w:ilvl w:val="0"/>
          <w:numId w:val="5"/>
        </w:numPr>
        <w:jc w:val="both"/>
      </w:pPr>
      <w:r>
        <w:rPr>
          <w:rFonts w:ascii="Calibri Light" w:hAnsi="Calibri Light" w:cs="Times New Roman"/>
          <w:sz w:val="24"/>
          <w:szCs w:val="24"/>
        </w:rPr>
        <w:lastRenderedPageBreak/>
        <w:t>Niezastosowanie się do wezwania o którym mowa w ust. 5 może stanowić podstawę do natychmiastowego odstąpienia od umowy przez Kuratora bez wyznaczania dodatkowego terminu.</w:t>
      </w:r>
    </w:p>
    <w:p w:rsidR="00B11827" w:rsidRDefault="002A6293">
      <w:pPr>
        <w:pStyle w:val="Nagwek1"/>
        <w:tabs>
          <w:tab w:val="left" w:pos="0"/>
        </w:tabs>
        <w:jc w:val="center"/>
        <w:rPr>
          <w:color w:val="auto"/>
        </w:rPr>
      </w:pPr>
      <w:r>
        <w:rPr>
          <w:color w:val="auto"/>
        </w:rPr>
        <w:t>§ 7</w:t>
      </w:r>
    </w:p>
    <w:p w:rsidR="00B11827" w:rsidRDefault="002A6293">
      <w:pPr>
        <w:numPr>
          <w:ilvl w:val="0"/>
          <w:numId w:val="16"/>
        </w:numPr>
        <w:jc w:val="both"/>
      </w:pPr>
      <w:r>
        <w:rPr>
          <w:rFonts w:ascii="Calibri Light" w:hAnsi="Calibri Light" w:cs="Times New Roman"/>
          <w:sz w:val="24"/>
          <w:szCs w:val="24"/>
        </w:rPr>
        <w:t>Wojewoda Łódzki sprawuje kontrolę prawidłowości wykonania przedmiotu umowy przez Beneficjenta, w tym wydatkowania przekazanych Beneficjentowi środków dotacji. Kontrole mogą być przeprowadzane w toku realizacji umowy lub po jego realizacji.</w:t>
      </w:r>
    </w:p>
    <w:p w:rsidR="00B11827" w:rsidRDefault="002A6293">
      <w:pPr>
        <w:numPr>
          <w:ilvl w:val="0"/>
          <w:numId w:val="6"/>
        </w:numPr>
        <w:jc w:val="both"/>
      </w:pPr>
      <w:r>
        <w:rPr>
          <w:rFonts w:ascii="Calibri Light" w:hAnsi="Calibri Light" w:cs="Times New Roman"/>
          <w:sz w:val="24"/>
          <w:szCs w:val="24"/>
        </w:rPr>
        <w:t xml:space="preserve">W ramach kontroli, o której mowa w ust. 1 osoby upoważnione przez </w:t>
      </w:r>
      <w:r w:rsidR="005550A7">
        <w:rPr>
          <w:rFonts w:ascii="Calibri Light" w:hAnsi="Calibri Light" w:cs="Times New Roman"/>
          <w:color w:val="000000"/>
          <w:sz w:val="24"/>
          <w:szCs w:val="24"/>
        </w:rPr>
        <w:t>Wojewodę</w:t>
      </w:r>
      <w:r>
        <w:rPr>
          <w:rFonts w:ascii="Calibri Light" w:hAnsi="Calibri Light" w:cs="Times New Roman"/>
          <w:color w:val="000000"/>
          <w:sz w:val="24"/>
          <w:szCs w:val="24"/>
        </w:rPr>
        <w:t xml:space="preserve"> Łódzki</w:t>
      </w:r>
      <w:r w:rsidR="005550A7">
        <w:rPr>
          <w:rFonts w:ascii="Calibri Light" w:hAnsi="Calibri Light" w:cs="Times New Roman"/>
          <w:color w:val="000000"/>
          <w:sz w:val="24"/>
          <w:szCs w:val="24"/>
        </w:rPr>
        <w:t>ego</w:t>
      </w:r>
      <w:r>
        <w:rPr>
          <w:rFonts w:ascii="Calibri Light" w:hAnsi="Calibri Light" w:cs="Times New Roman"/>
          <w:color w:val="000000"/>
          <w:sz w:val="24"/>
          <w:szCs w:val="24"/>
        </w:rPr>
        <w:t xml:space="preserve"> </w:t>
      </w:r>
      <w:r>
        <w:rPr>
          <w:rFonts w:ascii="Calibri Light" w:hAnsi="Calibri Light" w:cs="Times New Roman"/>
          <w:sz w:val="24"/>
          <w:szCs w:val="24"/>
        </w:rPr>
        <w:t>mogą badać dokumenty i inne nośniki informacji, które mają lub mogą mieć znaczenie dla oceny prawidłowości wykonywania przedmiotu umowy i rozliczenia przekazanych środków dotacji oraz żądać udzielenia ustnie lub na piśmie informacji dotyczących wykonania przedmiotu umowy. Beneficjent w celu umożliwienia przeprowadzenia kontroli udostępni pomieszczenie i sprzęt dla osób upoważnionych do dokonania kontroli.</w:t>
      </w:r>
    </w:p>
    <w:p w:rsidR="00B11827" w:rsidRDefault="002A6293">
      <w:pPr>
        <w:numPr>
          <w:ilvl w:val="0"/>
          <w:numId w:val="6"/>
        </w:numPr>
        <w:jc w:val="both"/>
      </w:pPr>
      <w:r>
        <w:rPr>
          <w:rFonts w:ascii="Calibri Light" w:hAnsi="Calibri Light" w:cs="Times New Roman"/>
          <w:sz w:val="24"/>
          <w:szCs w:val="24"/>
        </w:rPr>
        <w:t>Beneficjen</w:t>
      </w:r>
      <w:r w:rsidR="00AB3144">
        <w:rPr>
          <w:rFonts w:ascii="Calibri Light" w:hAnsi="Calibri Light" w:cs="Times New Roman"/>
          <w:sz w:val="24"/>
          <w:szCs w:val="24"/>
        </w:rPr>
        <w:t>t, na żądanie Wojewody</w:t>
      </w:r>
      <w:r>
        <w:rPr>
          <w:rFonts w:ascii="Calibri Light" w:hAnsi="Calibri Light" w:cs="Times New Roman"/>
          <w:color w:val="000000"/>
          <w:sz w:val="24"/>
          <w:szCs w:val="24"/>
        </w:rPr>
        <w:t xml:space="preserve"> Łódzki</w:t>
      </w:r>
      <w:r w:rsidR="00AB3144">
        <w:rPr>
          <w:rFonts w:ascii="Calibri Light" w:hAnsi="Calibri Light" w:cs="Times New Roman"/>
          <w:color w:val="000000"/>
          <w:sz w:val="24"/>
          <w:szCs w:val="24"/>
        </w:rPr>
        <w:t>ego</w:t>
      </w:r>
      <w:r>
        <w:rPr>
          <w:rFonts w:ascii="Calibri Light" w:hAnsi="Calibri Light" w:cs="Times New Roman"/>
          <w:sz w:val="24"/>
          <w:szCs w:val="24"/>
        </w:rPr>
        <w:t>, jest zobowiązany do poddania się kontroli, a w szczególności dostarczenia lub udostępnienia dokumentów i innych nośników informacji oraz udzielenia wyjaśnień i informacji w te</w:t>
      </w:r>
      <w:r w:rsidR="003D3A03">
        <w:rPr>
          <w:rFonts w:ascii="Calibri Light" w:hAnsi="Calibri Light" w:cs="Times New Roman"/>
          <w:sz w:val="24"/>
          <w:szCs w:val="24"/>
        </w:rPr>
        <w:t>rminie określonym przez Wojewodę</w:t>
      </w:r>
      <w:r>
        <w:rPr>
          <w:rFonts w:ascii="Calibri Light" w:hAnsi="Calibri Light" w:cs="Times New Roman"/>
          <w:sz w:val="24"/>
          <w:szCs w:val="24"/>
        </w:rPr>
        <w:t xml:space="preserve"> Łódzki</w:t>
      </w:r>
      <w:r w:rsidR="003D3A03">
        <w:rPr>
          <w:rFonts w:ascii="Calibri Light" w:hAnsi="Calibri Light" w:cs="Times New Roman"/>
          <w:sz w:val="24"/>
          <w:szCs w:val="24"/>
        </w:rPr>
        <w:t>ego</w:t>
      </w:r>
      <w:r>
        <w:rPr>
          <w:rFonts w:ascii="Calibri Light" w:hAnsi="Calibri Light" w:cs="Times New Roman"/>
          <w:sz w:val="24"/>
          <w:szCs w:val="24"/>
        </w:rPr>
        <w:t>, a także udostępnienia na potrzeby kontroli pomieszczeń i sprzętu.</w:t>
      </w:r>
    </w:p>
    <w:p w:rsidR="00B11827" w:rsidRDefault="002A6293">
      <w:pPr>
        <w:numPr>
          <w:ilvl w:val="0"/>
          <w:numId w:val="6"/>
        </w:numPr>
        <w:jc w:val="both"/>
      </w:pPr>
      <w:r>
        <w:rPr>
          <w:rFonts w:ascii="Calibri Light" w:hAnsi="Calibri Light" w:cs="Times New Roman"/>
          <w:sz w:val="24"/>
          <w:szCs w:val="24"/>
        </w:rPr>
        <w:t xml:space="preserve">Beneficjent zobowiązuje się do udzielania informacji dotyczących realizacji przedmiotu umowy na żądanie </w:t>
      </w:r>
      <w:r>
        <w:rPr>
          <w:rFonts w:ascii="Calibri Light" w:hAnsi="Calibri Light" w:cs="Times New Roman"/>
          <w:color w:val="000000"/>
          <w:sz w:val="24"/>
          <w:szCs w:val="24"/>
        </w:rPr>
        <w:t>Wojewody Łódzkiego</w:t>
      </w:r>
      <w:r>
        <w:rPr>
          <w:rFonts w:ascii="Calibri Light" w:hAnsi="Calibri Light" w:cs="Times New Roman"/>
          <w:sz w:val="24"/>
          <w:szCs w:val="24"/>
        </w:rPr>
        <w:t xml:space="preserve"> oraz do niezwłocznego informowania </w:t>
      </w:r>
      <w:r w:rsidRPr="00D9038D">
        <w:rPr>
          <w:rFonts w:ascii="Calibri Light" w:hAnsi="Calibri Light" w:cs="Times New Roman"/>
          <w:sz w:val="24"/>
          <w:szCs w:val="24"/>
        </w:rPr>
        <w:t>go</w:t>
      </w:r>
      <w:r>
        <w:rPr>
          <w:rFonts w:ascii="Calibri Light" w:hAnsi="Calibri Light" w:cs="Times New Roman"/>
          <w:sz w:val="24"/>
          <w:szCs w:val="24"/>
        </w:rPr>
        <w:t xml:space="preserve"> o wszelkich odstępstwach od założeń zawartych we wniosku i innych istotnych zdarzeniach związanych z realizacją przedmiotu umowy, w tym zwłaszcza o odstąpieniu od realizacji przedmiotu umowy.</w:t>
      </w:r>
    </w:p>
    <w:p w:rsidR="00B11827" w:rsidRDefault="002A6293">
      <w:pPr>
        <w:numPr>
          <w:ilvl w:val="0"/>
          <w:numId w:val="6"/>
        </w:numPr>
        <w:jc w:val="both"/>
      </w:pPr>
      <w:r>
        <w:rPr>
          <w:rFonts w:ascii="Calibri Light" w:hAnsi="Calibri Light" w:cs="Times New Roman"/>
          <w:sz w:val="24"/>
          <w:szCs w:val="24"/>
        </w:rPr>
        <w:t>Szczegółowe zasady i tryb przeprowadzenia kontroli określa ustawa z dnia 15 lipca 2011 r. o kontroli w administracji rządowej (Dz. U. z 2020 r., poz. 224).</w:t>
      </w:r>
    </w:p>
    <w:p w:rsidR="00B11827" w:rsidRDefault="002A6293">
      <w:pPr>
        <w:pStyle w:val="Nagwek1"/>
        <w:tabs>
          <w:tab w:val="left" w:pos="0"/>
        </w:tabs>
        <w:jc w:val="center"/>
        <w:rPr>
          <w:color w:val="auto"/>
        </w:rPr>
      </w:pPr>
      <w:r>
        <w:rPr>
          <w:color w:val="auto"/>
        </w:rPr>
        <w:t>§ 8</w:t>
      </w:r>
    </w:p>
    <w:p w:rsidR="00B11827" w:rsidRDefault="002A6293">
      <w:pPr>
        <w:numPr>
          <w:ilvl w:val="0"/>
          <w:numId w:val="17"/>
        </w:numPr>
        <w:jc w:val="both"/>
      </w:pPr>
      <w:r>
        <w:rPr>
          <w:rFonts w:ascii="Calibri Light" w:hAnsi="Calibri Light" w:cs="Times New Roman"/>
          <w:sz w:val="24"/>
          <w:szCs w:val="24"/>
        </w:rPr>
        <w:t>Umowa może być rozwiązana na mocy porozumienia stron w przypadku wystąpienia okoliczności, za które strony nie ponoszą odpowiedzialności, a które uniemożliwiają wykonywanie umowy.</w:t>
      </w:r>
    </w:p>
    <w:p w:rsidR="00B11827" w:rsidRDefault="002A6293">
      <w:pPr>
        <w:numPr>
          <w:ilvl w:val="0"/>
          <w:numId w:val="7"/>
        </w:numPr>
        <w:jc w:val="both"/>
      </w:pPr>
      <w:r>
        <w:rPr>
          <w:rFonts w:ascii="Calibri Light" w:hAnsi="Calibri Light" w:cs="Times New Roman"/>
          <w:sz w:val="24"/>
          <w:szCs w:val="24"/>
        </w:rPr>
        <w:t>W przypadku rozwiązania umowy na mocy porozumienia stron skutki finansowe i zwrot środków finansowych strony określą w sporządzonym protokole.</w:t>
      </w:r>
    </w:p>
    <w:p w:rsidR="00B11827" w:rsidRPr="00A0387B" w:rsidRDefault="002A6293">
      <w:pPr>
        <w:numPr>
          <w:ilvl w:val="0"/>
          <w:numId w:val="7"/>
        </w:numPr>
        <w:jc w:val="both"/>
      </w:pPr>
      <w:r w:rsidRPr="00A0387B">
        <w:rPr>
          <w:rFonts w:ascii="Calibri Light" w:hAnsi="Calibri Light" w:cs="Times New Roman"/>
          <w:sz w:val="24"/>
          <w:szCs w:val="24"/>
        </w:rPr>
        <w:t>Umowa może być rozwiązana przez Kuratora ze skutkiem natychmiastowym w przypadku:</w:t>
      </w:r>
    </w:p>
    <w:p w:rsidR="00B11827" w:rsidRDefault="002A6293">
      <w:pPr>
        <w:numPr>
          <w:ilvl w:val="0"/>
          <w:numId w:val="18"/>
        </w:numPr>
        <w:jc w:val="both"/>
      </w:pPr>
      <w:r>
        <w:rPr>
          <w:rFonts w:ascii="Calibri Light" w:hAnsi="Calibri Light" w:cs="Times New Roman"/>
          <w:sz w:val="24"/>
          <w:szCs w:val="24"/>
        </w:rPr>
        <w:t>stwierdzenia wykorzystania udzielonej dotacji niezgodnie z przeznaczeniem, pobrania dotacji nienależnie, pobrania dotacji w nadmiernej wysokości;</w:t>
      </w:r>
    </w:p>
    <w:p w:rsidR="00B11827" w:rsidRDefault="002A6293">
      <w:pPr>
        <w:numPr>
          <w:ilvl w:val="0"/>
          <w:numId w:val="8"/>
        </w:numPr>
        <w:jc w:val="both"/>
      </w:pPr>
      <w:r>
        <w:rPr>
          <w:rFonts w:ascii="Calibri Light" w:hAnsi="Calibri Light" w:cs="Times New Roman"/>
          <w:sz w:val="24"/>
          <w:szCs w:val="24"/>
        </w:rPr>
        <w:t xml:space="preserve">odmowy poddania się przez Beneficjenta kontroli bądź niedoprowadzenia w terminie określonym przez </w:t>
      </w:r>
      <w:r>
        <w:rPr>
          <w:rFonts w:ascii="Calibri Light" w:hAnsi="Calibri Light" w:cs="Times New Roman"/>
          <w:color w:val="000000"/>
          <w:sz w:val="24"/>
          <w:szCs w:val="24"/>
        </w:rPr>
        <w:t>Wojewodę Łódzkiego</w:t>
      </w:r>
      <w:r>
        <w:rPr>
          <w:rFonts w:ascii="Calibri Light" w:hAnsi="Calibri Light" w:cs="Times New Roman"/>
          <w:color w:val="0000FF"/>
          <w:sz w:val="24"/>
          <w:szCs w:val="24"/>
        </w:rPr>
        <w:t xml:space="preserve"> </w:t>
      </w:r>
      <w:r>
        <w:rPr>
          <w:rFonts w:ascii="Calibri Light" w:hAnsi="Calibri Light" w:cs="Times New Roman"/>
          <w:sz w:val="24"/>
          <w:szCs w:val="24"/>
        </w:rPr>
        <w:t>do usunięcia stwierdzonych podczas kontroli nieprawidłowości;</w:t>
      </w:r>
    </w:p>
    <w:p w:rsidR="00B11827" w:rsidRDefault="002A6293">
      <w:pPr>
        <w:numPr>
          <w:ilvl w:val="0"/>
          <w:numId w:val="8"/>
        </w:numPr>
        <w:jc w:val="both"/>
      </w:pPr>
      <w:r>
        <w:rPr>
          <w:rFonts w:ascii="Calibri Light" w:hAnsi="Calibri Light" w:cs="Times New Roman"/>
          <w:sz w:val="24"/>
          <w:szCs w:val="24"/>
        </w:rPr>
        <w:t>nieprowadzenia przez Beneficjenta wyodrębnionej ewidencji księgowej środków otrzymanych w ramach dotacji celowej i wydatków z nich dokonywanych.</w:t>
      </w:r>
    </w:p>
    <w:p w:rsidR="00B11827" w:rsidRDefault="002A6293">
      <w:pPr>
        <w:pStyle w:val="Nagwek1"/>
        <w:tabs>
          <w:tab w:val="left" w:pos="0"/>
        </w:tabs>
        <w:jc w:val="center"/>
        <w:rPr>
          <w:color w:val="auto"/>
        </w:rPr>
      </w:pPr>
      <w:r>
        <w:rPr>
          <w:color w:val="auto"/>
        </w:rPr>
        <w:lastRenderedPageBreak/>
        <w:t>§ 9</w:t>
      </w:r>
    </w:p>
    <w:p w:rsidR="00B11827" w:rsidRDefault="002A6293">
      <w:pPr>
        <w:numPr>
          <w:ilvl w:val="0"/>
          <w:numId w:val="19"/>
        </w:numPr>
        <w:jc w:val="both"/>
      </w:pPr>
      <w:r>
        <w:rPr>
          <w:rFonts w:ascii="Calibri Light" w:hAnsi="Calibri Light" w:cs="Times New Roman"/>
          <w:sz w:val="24"/>
          <w:szCs w:val="24"/>
        </w:rPr>
        <w:t xml:space="preserve">W zakresie nieuregulowanym niniejszą umową zastosowanie mają odpowiednie przepisy prawa ze szczególnym uwzględnieniem ustawy z dnia 27 sierpnia 2009 r. o finansach publicznych oraz ustawy z dnia 23 kwietnia 1964 r. Kodeks cywilny (Dz. U. z 2020 r. poz. 1740 z </w:t>
      </w:r>
      <w:proofErr w:type="spellStart"/>
      <w:r>
        <w:rPr>
          <w:rFonts w:ascii="Calibri Light" w:hAnsi="Calibri Light" w:cs="Times New Roman"/>
          <w:sz w:val="24"/>
          <w:szCs w:val="24"/>
        </w:rPr>
        <w:t>późn</w:t>
      </w:r>
      <w:proofErr w:type="spellEnd"/>
      <w:r>
        <w:rPr>
          <w:rFonts w:ascii="Calibri Light" w:hAnsi="Calibri Light" w:cs="Times New Roman"/>
          <w:sz w:val="24"/>
          <w:szCs w:val="24"/>
        </w:rPr>
        <w:t>. zm.).</w:t>
      </w:r>
    </w:p>
    <w:p w:rsidR="00B11827" w:rsidRDefault="002A6293">
      <w:pPr>
        <w:numPr>
          <w:ilvl w:val="0"/>
          <w:numId w:val="9"/>
        </w:numPr>
        <w:jc w:val="both"/>
      </w:pPr>
      <w:r>
        <w:rPr>
          <w:rFonts w:ascii="Calibri Light" w:hAnsi="Calibri Light" w:cs="Times New Roman"/>
          <w:sz w:val="24"/>
          <w:szCs w:val="24"/>
        </w:rPr>
        <w:t>Ewentualne spory strony będą starały się rozstrzygać polubownie. W przypadku braku porozumienia spór zostanie poddany pod rozstrzygnięcie sądu powszechnego właściwego ze względu na siedzibę Kuratora.</w:t>
      </w:r>
    </w:p>
    <w:p w:rsidR="00B11827" w:rsidRDefault="002A6293">
      <w:pPr>
        <w:numPr>
          <w:ilvl w:val="0"/>
          <w:numId w:val="9"/>
        </w:numPr>
        <w:jc w:val="both"/>
      </w:pPr>
      <w:r>
        <w:rPr>
          <w:rFonts w:ascii="Calibri Light" w:hAnsi="Calibri Light" w:cs="Times New Roman"/>
          <w:sz w:val="24"/>
          <w:szCs w:val="24"/>
        </w:rPr>
        <w:t>Wszelkie zmiany w umowie i załącznikach do umowy oraz uzupełnienia i oświadczenia składane w związku z niniejszą umową wymagają formy pisemnej, pod rygorem nieważności.</w:t>
      </w:r>
    </w:p>
    <w:p w:rsidR="00B11827" w:rsidRDefault="002A6293">
      <w:pPr>
        <w:numPr>
          <w:ilvl w:val="0"/>
          <w:numId w:val="9"/>
        </w:numPr>
        <w:jc w:val="both"/>
      </w:pPr>
      <w:r>
        <w:rPr>
          <w:rFonts w:ascii="Calibri Light" w:hAnsi="Calibri Light" w:cs="Times New Roman"/>
          <w:sz w:val="24"/>
          <w:szCs w:val="24"/>
        </w:rPr>
        <w:t xml:space="preserve">W przypadku stwierdzenia przez upoważnione organy nieprawidłowości w zakresie wykorzystania dotacji celowej oraz jej rozliczenia, osoby wykonujące w imieniu podmiotu zaliczanego lub niezaliczanego do sektora finansów publicznych, któremu przekazano do wykorzystania lub dysponowania środki publiczne, podlegają odpowiedzialności za naruszenie dyscypliny finansów publicznych na podstawie zapisów ustawy z dnia 17 grudnia 2004 r. o odpowiedzialności za naruszenie dyscypliny finansów publicznych (Dz. U. z 2021 r. poz. 289 z </w:t>
      </w:r>
      <w:proofErr w:type="spellStart"/>
      <w:r>
        <w:rPr>
          <w:rFonts w:ascii="Calibri Light" w:hAnsi="Calibri Light" w:cs="Times New Roman"/>
          <w:sz w:val="24"/>
          <w:szCs w:val="24"/>
        </w:rPr>
        <w:t>poźn</w:t>
      </w:r>
      <w:proofErr w:type="spellEnd"/>
      <w:r>
        <w:rPr>
          <w:rFonts w:ascii="Calibri Light" w:hAnsi="Calibri Light" w:cs="Times New Roman"/>
          <w:sz w:val="24"/>
          <w:szCs w:val="24"/>
        </w:rPr>
        <w:t>. zm.).</w:t>
      </w:r>
    </w:p>
    <w:p w:rsidR="00B11827" w:rsidRPr="00A0387B" w:rsidRDefault="002A6293">
      <w:pPr>
        <w:numPr>
          <w:ilvl w:val="0"/>
          <w:numId w:val="9"/>
        </w:numPr>
        <w:jc w:val="both"/>
      </w:pPr>
      <w:r w:rsidRPr="00A0387B">
        <w:rPr>
          <w:rFonts w:ascii="Calibri Light" w:hAnsi="Calibri Light" w:cs="Times New Roman"/>
          <w:sz w:val="24"/>
          <w:szCs w:val="24"/>
        </w:rPr>
        <w:t>Umowa wchodzi w życie z dniem jej podpisania przez strony.</w:t>
      </w:r>
    </w:p>
    <w:p w:rsidR="00B11827" w:rsidRPr="00A0387B" w:rsidRDefault="002A6293">
      <w:pPr>
        <w:numPr>
          <w:ilvl w:val="0"/>
          <w:numId w:val="9"/>
        </w:numPr>
        <w:jc w:val="both"/>
      </w:pPr>
      <w:r w:rsidRPr="00A0387B">
        <w:rPr>
          <w:rFonts w:ascii="Calibri Light" w:hAnsi="Calibri Light" w:cs="Times New Roman"/>
          <w:sz w:val="24"/>
          <w:szCs w:val="24"/>
        </w:rPr>
        <w:t xml:space="preserve">Umowa ulega rozwiązaniu z dniem uregulowania przez Beneficjenta wszystkich zobowiązań z niej wynikających. </w:t>
      </w:r>
    </w:p>
    <w:p w:rsidR="00B11827" w:rsidRDefault="002A6293">
      <w:pPr>
        <w:numPr>
          <w:ilvl w:val="0"/>
          <w:numId w:val="9"/>
        </w:numPr>
        <w:jc w:val="both"/>
      </w:pPr>
      <w:r>
        <w:rPr>
          <w:rFonts w:ascii="Calibri Light" w:hAnsi="Calibri Light" w:cs="Times New Roman"/>
          <w:sz w:val="24"/>
          <w:szCs w:val="24"/>
        </w:rPr>
        <w:t>Umowa została sporządzona w dwóch jednobrzmiących egzemplarzach po jednym dla każdej ze stron.</w:t>
      </w:r>
    </w:p>
    <w:p w:rsidR="00B11827" w:rsidRDefault="002A6293">
      <w:pPr>
        <w:numPr>
          <w:ilvl w:val="0"/>
          <w:numId w:val="9"/>
        </w:numPr>
      </w:pPr>
      <w:r>
        <w:rPr>
          <w:rFonts w:ascii="Calibri Light" w:hAnsi="Calibri Light" w:cs="Times New Roman"/>
          <w:sz w:val="24"/>
          <w:szCs w:val="24"/>
        </w:rPr>
        <w:t>Integralną część niniejszej umowy stanowią:</w:t>
      </w:r>
    </w:p>
    <w:p w:rsidR="00B11827" w:rsidRDefault="002A6293">
      <w:pPr>
        <w:numPr>
          <w:ilvl w:val="0"/>
          <w:numId w:val="20"/>
        </w:numPr>
        <w:jc w:val="both"/>
      </w:pPr>
      <w:r>
        <w:rPr>
          <w:rFonts w:ascii="Calibri Light" w:hAnsi="Calibri Light"/>
          <w:b/>
          <w:bCs/>
          <w:sz w:val="24"/>
          <w:szCs w:val="24"/>
        </w:rPr>
        <w:t xml:space="preserve">Załącznik nr 1 do umowy </w:t>
      </w:r>
      <w:r>
        <w:rPr>
          <w:rFonts w:ascii="Calibri Light" w:hAnsi="Calibri Light"/>
          <w:sz w:val="24"/>
          <w:szCs w:val="24"/>
        </w:rPr>
        <w:t xml:space="preserve">- </w:t>
      </w:r>
      <w:r>
        <w:rPr>
          <w:rFonts w:ascii="Calibri Light" w:hAnsi="Calibri Light"/>
          <w:i/>
          <w:iCs/>
          <w:sz w:val="24"/>
          <w:szCs w:val="24"/>
        </w:rPr>
        <w:t xml:space="preserve">Wniosek nr </w:t>
      </w:r>
      <w:r>
        <w:rPr>
          <w:rFonts w:ascii="Calibri Light" w:hAnsi="Calibri Light"/>
          <w:sz w:val="24"/>
          <w:szCs w:val="24"/>
        </w:rPr>
        <w:t xml:space="preserve">……. </w:t>
      </w:r>
      <w:r>
        <w:rPr>
          <w:rFonts w:ascii="Calibri Light" w:hAnsi="Calibri Light"/>
          <w:i/>
          <w:iCs/>
          <w:sz w:val="24"/>
          <w:szCs w:val="24"/>
        </w:rPr>
        <w:t>na miesiąc ……… 2022 r. w sprawie przekazania dotacji celowej przeznaczonej na finansowanie wydatków związanych z zatrudnieniem nauczycieli w celu realizacji zadań doradcy metodycznego;</w:t>
      </w:r>
    </w:p>
    <w:p w:rsidR="00B11827" w:rsidRDefault="002A6293">
      <w:pPr>
        <w:numPr>
          <w:ilvl w:val="0"/>
          <w:numId w:val="10"/>
        </w:numPr>
        <w:jc w:val="both"/>
      </w:pPr>
      <w:r>
        <w:rPr>
          <w:rFonts w:ascii="Calibri Light" w:hAnsi="Calibri Light"/>
          <w:b/>
          <w:bCs/>
          <w:sz w:val="24"/>
          <w:szCs w:val="24"/>
        </w:rPr>
        <w:t xml:space="preserve"> Załącznik nr 2 do umowy </w:t>
      </w:r>
      <w:r>
        <w:rPr>
          <w:rFonts w:ascii="Calibri Light" w:hAnsi="Calibri Light"/>
          <w:sz w:val="24"/>
          <w:szCs w:val="24"/>
        </w:rPr>
        <w:t xml:space="preserve">- </w:t>
      </w:r>
      <w:r>
        <w:rPr>
          <w:rFonts w:ascii="Calibri Light" w:hAnsi="Calibri Light"/>
          <w:i/>
          <w:iCs/>
          <w:sz w:val="24"/>
          <w:szCs w:val="24"/>
        </w:rPr>
        <w:t>Wykaz doradców metodycznych, których wydatki związane z zatrudnieniem są pokrywane z dotacji celowej w 2022 r.;</w:t>
      </w:r>
    </w:p>
    <w:p w:rsidR="00B11827" w:rsidRDefault="002A6293">
      <w:pPr>
        <w:numPr>
          <w:ilvl w:val="0"/>
          <w:numId w:val="10"/>
        </w:numPr>
        <w:spacing w:before="240" w:line="360" w:lineRule="auto"/>
        <w:jc w:val="both"/>
      </w:pPr>
      <w:r>
        <w:rPr>
          <w:rFonts w:ascii="Calibri Light" w:hAnsi="Calibri Light"/>
          <w:b/>
          <w:bCs/>
          <w:sz w:val="24"/>
          <w:szCs w:val="24"/>
        </w:rPr>
        <w:t xml:space="preserve">Załącznik nr 3 do umowy </w:t>
      </w:r>
      <w:r>
        <w:rPr>
          <w:rFonts w:ascii="Calibri Light" w:hAnsi="Calibri Light"/>
          <w:sz w:val="24"/>
          <w:szCs w:val="24"/>
        </w:rPr>
        <w:t xml:space="preserve">- </w:t>
      </w:r>
      <w:r>
        <w:rPr>
          <w:rFonts w:ascii="Calibri Light" w:hAnsi="Calibri Light"/>
          <w:i/>
          <w:iCs/>
          <w:sz w:val="24"/>
          <w:szCs w:val="24"/>
        </w:rPr>
        <w:t>Sprawozdanie końcowe z wykorzystania dotacji celowej za rok 2022.</w:t>
      </w:r>
    </w:p>
    <w:tbl>
      <w:tblPr>
        <w:tblW w:w="9033" w:type="dxa"/>
        <w:tblInd w:w="-226" w:type="dxa"/>
        <w:tblLayout w:type="fixed"/>
        <w:tblCellMar>
          <w:left w:w="10" w:type="dxa"/>
          <w:right w:w="10" w:type="dxa"/>
        </w:tblCellMar>
        <w:tblLook w:val="0000" w:firstRow="0" w:lastRow="0" w:firstColumn="0" w:lastColumn="0" w:noHBand="0" w:noVBand="0"/>
      </w:tblPr>
      <w:tblGrid>
        <w:gridCol w:w="4516"/>
        <w:gridCol w:w="4517"/>
      </w:tblGrid>
      <w:tr w:rsidR="00B11827">
        <w:trPr>
          <w:trHeight w:val="109"/>
        </w:trPr>
        <w:tc>
          <w:tcPr>
            <w:tcW w:w="4516" w:type="dxa"/>
            <w:shd w:val="clear" w:color="auto" w:fill="FFFFFF"/>
          </w:tcPr>
          <w:p w:rsidR="00B11827" w:rsidRDefault="002A6293">
            <w:pPr>
              <w:spacing w:before="240" w:line="360" w:lineRule="auto"/>
              <w:jc w:val="center"/>
            </w:pPr>
            <w:r>
              <w:rPr>
                <w:rFonts w:ascii="Calibri Light" w:hAnsi="Calibri Light"/>
                <w:sz w:val="24"/>
                <w:szCs w:val="24"/>
              </w:rPr>
              <w:t>Beneficjent</w:t>
            </w:r>
          </w:p>
        </w:tc>
        <w:tc>
          <w:tcPr>
            <w:tcW w:w="4517" w:type="dxa"/>
            <w:shd w:val="clear" w:color="auto" w:fill="FFFFFF"/>
          </w:tcPr>
          <w:p w:rsidR="00B11827" w:rsidRDefault="002A6293">
            <w:pPr>
              <w:spacing w:before="240" w:line="360" w:lineRule="auto"/>
              <w:jc w:val="center"/>
            </w:pPr>
            <w:r>
              <w:rPr>
                <w:rFonts w:ascii="Calibri Light" w:hAnsi="Calibri Light"/>
                <w:sz w:val="24"/>
                <w:szCs w:val="24"/>
              </w:rPr>
              <w:t>Kurator</w:t>
            </w:r>
          </w:p>
        </w:tc>
      </w:tr>
      <w:tr w:rsidR="00B11827">
        <w:trPr>
          <w:trHeight w:val="194"/>
        </w:trPr>
        <w:tc>
          <w:tcPr>
            <w:tcW w:w="4516" w:type="dxa"/>
            <w:shd w:val="clear" w:color="auto" w:fill="FFFFFF"/>
          </w:tcPr>
          <w:p w:rsidR="00B11827" w:rsidRDefault="00B11827">
            <w:pPr>
              <w:spacing w:line="600" w:lineRule="auto"/>
              <w:jc w:val="both"/>
              <w:rPr>
                <w:rFonts w:ascii="Calibri Light" w:hAnsi="Calibri Light"/>
                <w:sz w:val="24"/>
                <w:szCs w:val="24"/>
              </w:rPr>
            </w:pPr>
          </w:p>
        </w:tc>
        <w:tc>
          <w:tcPr>
            <w:tcW w:w="4517" w:type="dxa"/>
            <w:shd w:val="clear" w:color="auto" w:fill="FFFFFF"/>
          </w:tcPr>
          <w:p w:rsidR="00B11827" w:rsidRDefault="00B11827">
            <w:pPr>
              <w:spacing w:line="600" w:lineRule="auto"/>
              <w:jc w:val="both"/>
              <w:rPr>
                <w:rFonts w:ascii="Calibri Light" w:hAnsi="Calibri Light"/>
                <w:sz w:val="24"/>
                <w:szCs w:val="24"/>
              </w:rPr>
            </w:pPr>
          </w:p>
        </w:tc>
      </w:tr>
    </w:tbl>
    <w:p w:rsidR="00B11827" w:rsidRDefault="00B11827">
      <w:pPr>
        <w:spacing w:line="600" w:lineRule="auto"/>
        <w:jc w:val="both"/>
      </w:pPr>
    </w:p>
    <w:sectPr w:rsidR="00B11827">
      <w:footerReference w:type="default" r:id="rId7"/>
      <w:pgSz w:w="11906" w:h="16838"/>
      <w:pgMar w:top="708" w:right="1417" w:bottom="1417" w:left="1417" w:header="0" w:footer="708"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EFD" w:rsidRDefault="00B05EFD">
      <w:pPr>
        <w:spacing w:after="0"/>
      </w:pPr>
      <w:r>
        <w:separator/>
      </w:r>
    </w:p>
  </w:endnote>
  <w:endnote w:type="continuationSeparator" w:id="0">
    <w:p w:rsidR="00B05EFD" w:rsidRDefault="00B05E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F1">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27" w:rsidRDefault="002A6293">
    <w:pPr>
      <w:pStyle w:val="Stopka"/>
    </w:pPr>
    <w:r>
      <w:fldChar w:fldCharType="begin"/>
    </w:r>
    <w:r>
      <w:instrText>PAGE</w:instrText>
    </w:r>
    <w:r>
      <w:fldChar w:fldCharType="separate"/>
    </w:r>
    <w:r w:rsidR="00A245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EFD" w:rsidRDefault="00B05EFD">
      <w:pPr>
        <w:spacing w:after="0"/>
      </w:pPr>
      <w:r>
        <w:separator/>
      </w:r>
    </w:p>
  </w:footnote>
  <w:footnote w:type="continuationSeparator" w:id="0">
    <w:p w:rsidR="00B05EFD" w:rsidRDefault="00B05E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EE5"/>
    <w:multiLevelType w:val="multilevel"/>
    <w:tmpl w:val="EE9EC35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1" w15:restartNumberingAfterBreak="0">
    <w:nsid w:val="08BC3E8B"/>
    <w:multiLevelType w:val="multilevel"/>
    <w:tmpl w:val="3670D9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11BC1FBD"/>
    <w:multiLevelType w:val="multilevel"/>
    <w:tmpl w:val="8108A968"/>
    <w:lvl w:ilvl="0">
      <w:start w:val="1"/>
      <w:numFmt w:val="decimal"/>
      <w:lvlText w:val="%1)"/>
      <w:lvlJc w:val="left"/>
      <w:pPr>
        <w:tabs>
          <w:tab w:val="num" w:pos="0"/>
        </w:tabs>
        <w:ind w:left="720" w:hanging="360"/>
      </w:pPr>
      <w:rPr>
        <w:i/>
        <w:sz w:val="24"/>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11BC7CF4"/>
    <w:multiLevelType w:val="multilevel"/>
    <w:tmpl w:val="C8CCE208"/>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5E01002"/>
    <w:multiLevelType w:val="multilevel"/>
    <w:tmpl w:val="9334BA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15:restartNumberingAfterBreak="0">
    <w:nsid w:val="4B31522A"/>
    <w:multiLevelType w:val="multilevel"/>
    <w:tmpl w:val="9F3078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4D2C4EA2"/>
    <w:multiLevelType w:val="multilevel"/>
    <w:tmpl w:val="BA40AFB6"/>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5BB622F4"/>
    <w:multiLevelType w:val="multilevel"/>
    <w:tmpl w:val="372879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15:restartNumberingAfterBreak="0">
    <w:nsid w:val="64722B66"/>
    <w:multiLevelType w:val="multilevel"/>
    <w:tmpl w:val="29667D2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72C77AF7"/>
    <w:multiLevelType w:val="multilevel"/>
    <w:tmpl w:val="73B6679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10" w15:restartNumberingAfterBreak="0">
    <w:nsid w:val="75797DF4"/>
    <w:multiLevelType w:val="multilevel"/>
    <w:tmpl w:val="880EF5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abstractNumId w:val="3"/>
  </w:num>
  <w:num w:numId="2">
    <w:abstractNumId w:val="8"/>
  </w:num>
  <w:num w:numId="3">
    <w:abstractNumId w:val="0"/>
  </w:num>
  <w:num w:numId="4">
    <w:abstractNumId w:val="10"/>
  </w:num>
  <w:num w:numId="5">
    <w:abstractNumId w:val="1"/>
  </w:num>
  <w:num w:numId="6">
    <w:abstractNumId w:val="4"/>
  </w:num>
  <w:num w:numId="7">
    <w:abstractNumId w:val="7"/>
  </w:num>
  <w:num w:numId="8">
    <w:abstractNumId w:val="9"/>
  </w:num>
  <w:num w:numId="9">
    <w:abstractNumId w:val="5"/>
  </w:num>
  <w:num w:numId="10">
    <w:abstractNumId w:val="2"/>
  </w:num>
  <w:num w:numId="11">
    <w:abstractNumId w:val="8"/>
    <w:lvlOverride w:ilvl="0">
      <w:startOverride w:val="1"/>
    </w:lvlOverride>
  </w:num>
  <w:num w:numId="12">
    <w:abstractNumId w:val="0"/>
    <w:lvlOverride w:ilvl="0">
      <w:startOverride w:val="1"/>
    </w:lvlOverride>
  </w:num>
  <w:num w:numId="13">
    <w:abstractNumId w:val="6"/>
  </w:num>
  <w:num w:numId="14">
    <w:abstractNumId w:val="10"/>
    <w:lvlOverride w:ilvl="0">
      <w:startOverride w:val="1"/>
    </w:lvlOverride>
  </w:num>
  <w:num w:numId="15">
    <w:abstractNumId w:val="1"/>
    <w:lvlOverride w:ilvl="0">
      <w:startOverride w:val="1"/>
    </w:lvlOverride>
  </w:num>
  <w:num w:numId="16">
    <w:abstractNumId w:val="4"/>
    <w:lvlOverride w:ilvl="0">
      <w:startOverride w:val="1"/>
    </w:lvlOverride>
  </w:num>
  <w:num w:numId="17">
    <w:abstractNumId w:val="7"/>
    <w:lvlOverride w:ilvl="0">
      <w:startOverride w:val="1"/>
    </w:lvlOverride>
  </w:num>
  <w:num w:numId="18">
    <w:abstractNumId w:val="9"/>
    <w:lvlOverride w:ilvl="0">
      <w:startOverride w:val="1"/>
    </w:lvlOverride>
  </w:num>
  <w:num w:numId="19">
    <w:abstractNumId w:val="5"/>
    <w:lvlOverride w:ilvl="0">
      <w:startOverride w:val="1"/>
    </w:lvlOverride>
  </w:num>
  <w:num w:numId="2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27"/>
    <w:rsid w:val="00243373"/>
    <w:rsid w:val="002A6293"/>
    <w:rsid w:val="003D3A03"/>
    <w:rsid w:val="005550A7"/>
    <w:rsid w:val="00A0387B"/>
    <w:rsid w:val="00A245A7"/>
    <w:rsid w:val="00AB3144"/>
    <w:rsid w:val="00AC33C3"/>
    <w:rsid w:val="00AC7A6F"/>
    <w:rsid w:val="00B05EFD"/>
    <w:rsid w:val="00B11827"/>
    <w:rsid w:val="00D9038D"/>
    <w:rsid w:val="00E03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F8949-F6DC-4E3A-8CBC-26B8752F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2"/>
        <w:sz w:val="22"/>
        <w:szCs w:val="22"/>
        <w:lang w:val="pl-PL" w:eastAsia="en-US" w:bidi="ar-SA"/>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spacing w:after="160"/>
    </w:pPr>
  </w:style>
  <w:style w:type="paragraph" w:styleId="Nagwek1">
    <w:name w:val="heading 1"/>
    <w:basedOn w:val="Normalny"/>
    <w:next w:val="Tekstpodstawowy"/>
    <w:qFormat/>
    <w:pPr>
      <w:keepNext/>
      <w:keepLines/>
      <w:numPr>
        <w:numId w:val="1"/>
      </w:numPr>
      <w:spacing w:before="240" w:after="0"/>
      <w:outlineLvl w:val="0"/>
    </w:pPr>
    <w:rPr>
      <w:rFonts w:ascii="Calibri Light" w:hAnsi="Calibri Light" w:cs="F1"/>
      <w:color w:val="2E74B5"/>
      <w:sz w:val="32"/>
      <w:szCs w:val="32"/>
    </w:rPr>
  </w:style>
  <w:style w:type="paragraph" w:styleId="Nagwek2">
    <w:name w:val="heading 2"/>
    <w:basedOn w:val="Normalny"/>
    <w:next w:val="Tekstpodstawowy"/>
    <w:qFormat/>
    <w:pPr>
      <w:keepNext/>
      <w:keepLines/>
      <w:numPr>
        <w:ilvl w:val="1"/>
        <w:numId w:val="1"/>
      </w:numPr>
      <w:spacing w:before="40" w:after="0"/>
      <w:outlineLvl w:val="1"/>
    </w:pPr>
    <w:rPr>
      <w:rFonts w:ascii="Calibri Light" w:hAnsi="Calibri Light" w:cs="F1"/>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qFormat/>
    <w:rPr>
      <w:rFonts w:ascii="Segoe UI" w:eastAsia="Segoe UI" w:hAnsi="Segoe UI" w:cs="Segoe UI"/>
      <w:sz w:val="18"/>
      <w:szCs w:val="18"/>
    </w:rPr>
  </w:style>
  <w:style w:type="character" w:customStyle="1" w:styleId="TekstkomentarzaZnak">
    <w:name w:val="Tekst komentarza Znak"/>
    <w:basedOn w:val="Domylnaczcionkaakapitu"/>
    <w:qFormat/>
    <w:rPr>
      <w:sz w:val="20"/>
      <w:szCs w:val="20"/>
    </w:rPr>
  </w:style>
  <w:style w:type="character" w:styleId="Odwoaniedokomentarza">
    <w:name w:val="annotation reference"/>
    <w:basedOn w:val="Domylnaczcionkaakapitu"/>
    <w:qFormat/>
    <w:rPr>
      <w:sz w:val="16"/>
      <w:szCs w:val="16"/>
    </w:rPr>
  </w:style>
  <w:style w:type="character" w:customStyle="1" w:styleId="Nagwek2Znak">
    <w:name w:val="Nagłówek 2 Znak"/>
    <w:basedOn w:val="Domylnaczcionkaakapitu"/>
    <w:qFormat/>
    <w:rPr>
      <w:rFonts w:ascii="Calibri Light" w:hAnsi="Calibri Light" w:cs="F1"/>
      <w:color w:val="2E74B5"/>
      <w:sz w:val="26"/>
      <w:szCs w:val="26"/>
    </w:rPr>
  </w:style>
  <w:style w:type="character" w:customStyle="1" w:styleId="Nagwek1Znak">
    <w:name w:val="Nagłówek 1 Znak"/>
    <w:basedOn w:val="Domylnaczcionkaakapitu"/>
    <w:qFormat/>
    <w:rPr>
      <w:rFonts w:ascii="Calibri Light" w:hAnsi="Calibri Light" w:cs="F1"/>
      <w:color w:val="2E74B5"/>
      <w:sz w:val="32"/>
      <w:szCs w:val="32"/>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WWCharLFO9LVL1">
    <w:name w:val="WW_CharLFO9LVL1"/>
    <w:qFormat/>
    <w:rPr>
      <w:i/>
      <w:sz w:val="24"/>
    </w:rPr>
  </w:style>
  <w:style w:type="paragraph" w:styleId="Nagwek">
    <w:name w:val="header"/>
    <w:basedOn w:val="Normalny"/>
    <w:qFormat/>
    <w:pPr>
      <w:suppressLineNumbers/>
      <w:tabs>
        <w:tab w:val="center" w:pos="4536"/>
        <w:tab w:val="right" w:pos="9072"/>
      </w:tabs>
      <w:spacing w:after="0"/>
    </w:p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qFormat/>
    <w:pPr>
      <w:spacing w:after="0"/>
    </w:pPr>
    <w:rPr>
      <w:rFonts w:ascii="Segoe UI" w:eastAsia="Segoe UI" w:hAnsi="Segoe UI" w:cs="Segoe UI"/>
      <w:sz w:val="18"/>
      <w:szCs w:val="18"/>
    </w:rPr>
  </w:style>
  <w:style w:type="paragraph" w:styleId="Tekstkomentarza">
    <w:name w:val="annotation text"/>
    <w:basedOn w:val="Normalny"/>
    <w:qFormat/>
    <w:rPr>
      <w:sz w:val="20"/>
      <w:szCs w:val="20"/>
    </w:rPr>
  </w:style>
  <w:style w:type="paragraph" w:customStyle="1" w:styleId="Zawartotabeli">
    <w:name w:val="Zawartość tabeli"/>
    <w:basedOn w:val="Normalny"/>
    <w:qFormat/>
    <w:pPr>
      <w:suppressLineNumbers/>
    </w:p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536"/>
        <w:tab w:val="right" w:pos="9072"/>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10829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Wzór umowy dotacyjnej</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dotacyjnej</dc:title>
  <dc:subject/>
  <dc:creator>Jadwiga Jakóbczyk</dc:creator>
  <dc:description/>
  <cp:lastModifiedBy>WRE1</cp:lastModifiedBy>
  <cp:revision>2</cp:revision>
  <cp:lastPrinted>2021-12-13T10:39:00Z</cp:lastPrinted>
  <dcterms:created xsi:type="dcterms:W3CDTF">2022-02-21T08:12:00Z</dcterms:created>
  <dcterms:modified xsi:type="dcterms:W3CDTF">2022-02-21T08:12:00Z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