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334AE9AA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3511F1">
        <w:rPr>
          <w:sz w:val="22"/>
        </w:rPr>
        <w:t xml:space="preserve">2 </w:t>
      </w:r>
      <w:r w:rsidR="003C4BE6" w:rsidRPr="00192F73">
        <w:rPr>
          <w:sz w:val="22"/>
        </w:rPr>
        <w:t xml:space="preserve">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0EA6F31E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3511F1">
        <w:t xml:space="preserve">Języka Angielskiego </w:t>
      </w:r>
      <w:r w:rsidR="00CC0BEC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02E97F1A" w14:textId="3CA49AC4" w:rsidR="00192F73" w:rsidRDefault="00593E8B" w:rsidP="003934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192F73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192F73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192F73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023B51" w:rsidRPr="00192F73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3511F1">
        <w:rPr>
          <w:rFonts w:eastAsia="Times New Roman" w:cs="Arial"/>
          <w:bCs/>
          <w:iCs/>
          <w:sz w:val="22"/>
          <w:lang w:eastAsia="pl-PL" w:bidi="pl-PL"/>
        </w:rPr>
        <w:t>Angielskiego</w:t>
      </w:r>
      <w:r w:rsidR="00023B51" w:rsidRPr="00192F73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3511F1">
        <w:rPr>
          <w:rFonts w:eastAsia="Times New Roman" w:cs="Arial"/>
          <w:bCs/>
          <w:iCs/>
          <w:sz w:val="22"/>
          <w:lang w:eastAsia="pl-PL" w:bidi="pl-PL"/>
        </w:rPr>
        <w:t>Kuratorium Oświaty w Łodzi, al. Kościuszki 120a, 90-446 Łódź, tel.: 42 637 70 55.</w:t>
      </w:r>
    </w:p>
    <w:p w14:paraId="331B2DD4" w14:textId="6B42F623" w:rsidR="00D83D57" w:rsidRPr="00192F73" w:rsidRDefault="00473DCD" w:rsidP="00111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192F73">
        <w:rPr>
          <w:rFonts w:eastAsia="Times New Roman" w:cs="Arial"/>
          <w:sz w:val="22"/>
          <w:lang w:eastAsia="pl-PL"/>
        </w:rPr>
        <w:t>Cel konkursu</w:t>
      </w:r>
      <w:r w:rsidR="00D83D57" w:rsidRPr="00192F73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4893221B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3511F1">
        <w:rPr>
          <w:rFonts w:cs="Arial"/>
          <w:sz w:val="22"/>
        </w:rPr>
        <w:t>Języka Angielskiego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393402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61181005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393402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393402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lastRenderedPageBreak/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5C142E26" w14:textId="3EFE7B27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37136A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6A9E8590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>z</w:t>
      </w:r>
      <w:r w:rsidR="00B54EDB">
        <w:rPr>
          <w:rFonts w:eastAsia="Times New Roman" w:cs="Arial"/>
          <w:sz w:val="22"/>
          <w:lang w:eastAsia="pl-PL"/>
        </w:rPr>
        <w:t xml:space="preserve"> Języka Angielskiego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3313B9BF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43500C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0E4621CF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F46EDB">
        <w:rPr>
          <w:rFonts w:ascii="Arial" w:hAnsi="Arial" w:cs="Arial"/>
          <w:b/>
          <w:color w:val="auto"/>
          <w:sz w:val="22"/>
          <w:szCs w:val="22"/>
        </w:rPr>
        <w:t xml:space="preserve">5 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>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4EECF13A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320EF6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6B5F7B0D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234AE9">
        <w:rPr>
          <w:rFonts w:cs="Arial"/>
          <w:sz w:val="22"/>
        </w:rPr>
        <w:t xml:space="preserve">z </w:t>
      </w:r>
      <w:r w:rsidR="003511F1">
        <w:rPr>
          <w:rFonts w:cs="Arial"/>
          <w:sz w:val="22"/>
        </w:rPr>
        <w:t xml:space="preserve">Języka Angielskiego </w:t>
      </w:r>
      <w:r w:rsidR="005520EC" w:rsidRPr="001D1785">
        <w:rPr>
          <w:rFonts w:cs="Arial"/>
          <w:sz w:val="22"/>
        </w:rPr>
        <w:t xml:space="preserve">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320EF6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320EF6">
      <w:rPr>
        <w:rFonts w:ascii="Times New Roman" w:hAnsi="Times New Roman"/>
        <w:noProof/>
      </w:rPr>
      <w:t>22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0EF6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1F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136A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3402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500C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4EDB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BEC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46EDB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858B-3264-43BB-A631-3F53FC74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7352</Words>
  <Characters>44112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51362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Angielskiego</dc:title>
  <dc:subject/>
  <dc:creator>Kuratorium Oświaty w Łodzi</dc:creator>
  <cp:keywords/>
  <cp:lastModifiedBy>Nowy Pracownik</cp:lastModifiedBy>
  <cp:revision>9</cp:revision>
  <cp:lastPrinted>2021-09-28T06:57:00Z</cp:lastPrinted>
  <dcterms:created xsi:type="dcterms:W3CDTF">2021-09-28T12:59:00Z</dcterms:created>
  <dcterms:modified xsi:type="dcterms:W3CDTF">2021-09-29T11:16:00Z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