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586" w:rsidRDefault="005B7586" w:rsidP="005B7586">
      <w:pPr>
        <w:pStyle w:val="Nagwek"/>
        <w:jc w:val="right"/>
      </w:pPr>
      <w:r>
        <w:t>Załącznik 1b</w:t>
      </w:r>
    </w:p>
    <w:p w:rsidR="005B7586" w:rsidRDefault="005B7586" w:rsidP="005B7586">
      <w:pPr>
        <w:pStyle w:val="Nagwek"/>
        <w:jc w:val="right"/>
      </w:pPr>
      <w:r>
        <w:t>do SIWZ</w:t>
      </w:r>
    </w:p>
    <w:p w:rsidR="005B7586" w:rsidRPr="001A2E4E" w:rsidRDefault="005B7586" w:rsidP="005B7586">
      <w:pPr>
        <w:pStyle w:val="Akapitzlist"/>
        <w:ind w:left="0"/>
        <w:rPr>
          <w:sz w:val="32"/>
          <w:szCs w:val="32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>Część II</w:t>
      </w:r>
    </w:p>
    <w:p w:rsidR="005B7586" w:rsidRDefault="005B7586" w:rsidP="005B75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Zarządzalny przełącznik</w:t>
      </w:r>
      <w:r w:rsidRPr="0044001C">
        <w:rPr>
          <w:rFonts w:ascii="Arial" w:hAnsi="Arial" w:cs="Arial"/>
          <w:b/>
          <w:sz w:val="20"/>
          <w:szCs w:val="20"/>
        </w:rPr>
        <w:t xml:space="preserve"> 48-portowy</w:t>
      </w:r>
      <w:r>
        <w:rPr>
          <w:rFonts w:ascii="Arial" w:hAnsi="Arial" w:cs="Arial"/>
          <w:b/>
          <w:sz w:val="20"/>
          <w:szCs w:val="20"/>
        </w:rPr>
        <w:t xml:space="preserve"> (4 szt.)</w:t>
      </w:r>
    </w:p>
    <w:p w:rsidR="005B7586" w:rsidRDefault="005B7586" w:rsidP="005B7586">
      <w:pPr>
        <w:jc w:val="both"/>
        <w:rPr>
          <w:rFonts w:cs="Calibri"/>
        </w:rPr>
      </w:pPr>
      <w:r>
        <w:t xml:space="preserve">Zamawiający jest w posiadaniu rozwiązania FortiGate-61F. W ramach rozbudowy istniejącego systemu, której celem jest przeniesienie mechanizmów bezpieczeństwa na warstwę dostępową, wymaganym jest dostarczenie przełącznika współpracującego z istniejącym rozwiązaniem </w:t>
      </w:r>
      <w:proofErr w:type="spellStart"/>
      <w:r>
        <w:t>Fortigate</w:t>
      </w:r>
      <w:proofErr w:type="spellEnd"/>
      <w:r>
        <w:t xml:space="preserve"> w zakresie  opisanym w sekcjach: "Dodatkowe funkcje urządzenia przy integracji z systemem centralnego zarządzania / NAC" oraz "Funkcje urządzenia przy integracji z systemem centralnego zarządzania lub bezpieczeństwa". W przypadku braku możliwości zaoferowania przełącznika realizującego takie funkcje dopuszczalne jest zaoferowanie równoważnych przełączników </w:t>
      </w:r>
      <w:r w:rsidRPr="0044001C">
        <w:t>posiada</w:t>
      </w:r>
      <w:r>
        <w:t>jących</w:t>
      </w:r>
      <w:r w:rsidRPr="0044001C">
        <w:t xml:space="preserve"> funkcjo</w:t>
      </w:r>
      <w:r>
        <w:t>nalność równoważną do wskazanego</w:t>
      </w:r>
      <w:r w:rsidRPr="0044001C">
        <w:t xml:space="preserve"> </w:t>
      </w:r>
      <w:r>
        <w:t>rozwiązania</w:t>
      </w:r>
      <w:r w:rsidRPr="0044001C">
        <w:t xml:space="preserve"> oraz posiada</w:t>
      </w:r>
      <w:r>
        <w:t>jących</w:t>
      </w:r>
      <w:r w:rsidRPr="0044001C">
        <w:t xml:space="preserve"> nie gorsze parametry techniczne niż wskazane </w:t>
      </w:r>
      <w:r>
        <w:t>rozwiązanie wraz z dodatkowym zewnętrznym systemem (systemami),</w:t>
      </w:r>
      <w:r>
        <w:rPr>
          <w:color w:val="FF0000"/>
        </w:rPr>
        <w:t xml:space="preserve"> </w:t>
      </w:r>
      <w:r>
        <w:t xml:space="preserve">który pozwoli te funkcje spełnić.  </w:t>
      </w:r>
    </w:p>
    <w:p w:rsidR="005B7586" w:rsidRDefault="005B7586" w:rsidP="005B7586">
      <w:pPr>
        <w:pStyle w:val="Nagwek1"/>
        <w:numPr>
          <w:ilvl w:val="0"/>
          <w:numId w:val="2"/>
        </w:numPr>
        <w:jc w:val="both"/>
      </w:pPr>
      <w:r>
        <w:rPr>
          <w:rFonts w:ascii="Calibri" w:eastAsia="Calibri" w:hAnsi="Calibri" w:cs="Calibri"/>
          <w:sz w:val="22"/>
          <w:szCs w:val="22"/>
        </w:rPr>
        <w:t>Parametry fizyczne platformy</w:t>
      </w:r>
    </w:p>
    <w:p w:rsidR="005B7586" w:rsidRDefault="005B7586" w:rsidP="005B7586">
      <w:pPr>
        <w:pStyle w:val="Akapitzlist"/>
        <w:numPr>
          <w:ilvl w:val="0"/>
          <w:numId w:val="15"/>
        </w:numPr>
        <w:spacing w:after="160" w:line="254" w:lineRule="auto"/>
        <w:ind w:left="1068"/>
        <w:jc w:val="both"/>
      </w:pPr>
      <w:r>
        <w:t xml:space="preserve">Wymiary urządzenia muszą pozwalać na montaż w szafie </w:t>
      </w:r>
      <w:proofErr w:type="spellStart"/>
      <w:r>
        <w:t>rack</w:t>
      </w:r>
      <w:proofErr w:type="spellEnd"/>
      <w:r>
        <w:t xml:space="preserve"> 19", obudowa nie może być wyższa niż 1U.</w:t>
      </w:r>
    </w:p>
    <w:p w:rsidR="005B7586" w:rsidRDefault="005B7586" w:rsidP="005B7586">
      <w:pPr>
        <w:pStyle w:val="Akapitzlist"/>
        <w:numPr>
          <w:ilvl w:val="0"/>
          <w:numId w:val="12"/>
        </w:numPr>
        <w:spacing w:after="160" w:line="254" w:lineRule="auto"/>
        <w:ind w:left="1068"/>
        <w:jc w:val="both"/>
      </w:pPr>
      <w:r>
        <w:t>Zasilanie AC 230V.</w:t>
      </w:r>
    </w:p>
    <w:p w:rsidR="005B7586" w:rsidRDefault="005B7586" w:rsidP="005B7586">
      <w:pPr>
        <w:pStyle w:val="Akapitzlist"/>
        <w:numPr>
          <w:ilvl w:val="0"/>
          <w:numId w:val="10"/>
        </w:numPr>
        <w:spacing w:after="160" w:line="254" w:lineRule="auto"/>
        <w:ind w:left="1068"/>
        <w:jc w:val="both"/>
      </w:pPr>
      <w:r>
        <w:t>Maksymalny pobór mocy: 60 W.</w:t>
      </w:r>
    </w:p>
    <w:p w:rsidR="005B7586" w:rsidRDefault="005B7586" w:rsidP="005B7586">
      <w:pPr>
        <w:pStyle w:val="Akapitzlist"/>
        <w:numPr>
          <w:ilvl w:val="0"/>
          <w:numId w:val="45"/>
        </w:numPr>
        <w:spacing w:after="160" w:line="254" w:lineRule="auto"/>
        <w:ind w:left="1068"/>
        <w:jc w:val="both"/>
        <w:rPr>
          <w:rFonts w:cs="Calibri"/>
        </w:rPr>
      </w:pPr>
      <w:r>
        <w:t>Zakres temperatury pracy: co najmniej 0-45ᵒC.</w:t>
      </w:r>
    </w:p>
    <w:p w:rsidR="005B7586" w:rsidRDefault="005B7586" w:rsidP="005B7586">
      <w:pPr>
        <w:pStyle w:val="Nagwek1"/>
        <w:numPr>
          <w:ilvl w:val="0"/>
          <w:numId w:val="2"/>
        </w:numPr>
        <w:jc w:val="both"/>
      </w:pPr>
      <w:bookmarkStart w:id="0" w:name="_Interfejsy_sieciowe_-"/>
      <w:bookmarkEnd w:id="0"/>
      <w:r>
        <w:rPr>
          <w:rFonts w:ascii="Calibri" w:eastAsia="Calibri" w:hAnsi="Calibri" w:cs="Calibri"/>
          <w:sz w:val="22"/>
          <w:szCs w:val="22"/>
        </w:rPr>
        <w:t>Interfejsy sieciowe - wymagania minimalne</w:t>
      </w:r>
    </w:p>
    <w:p w:rsidR="005B7586" w:rsidRPr="00462784" w:rsidRDefault="005B7586" w:rsidP="005B7586">
      <w:pPr>
        <w:pStyle w:val="Akapitzlist"/>
        <w:numPr>
          <w:ilvl w:val="0"/>
          <w:numId w:val="31"/>
        </w:numPr>
        <w:spacing w:after="160" w:line="254" w:lineRule="auto"/>
        <w:jc w:val="both"/>
      </w:pPr>
      <w:r>
        <w:t xml:space="preserve">Wymaganym jest aby przełącznik dysponował niezależnymi interfejsami sieciowymi (nie dopuszcza się więcej niż 2 portów typu </w:t>
      </w:r>
      <w:proofErr w:type="spellStart"/>
      <w:r>
        <w:t>combo</w:t>
      </w:r>
      <w:proofErr w:type="spellEnd"/>
      <w:r>
        <w:t>) w ilości:</w:t>
      </w:r>
    </w:p>
    <w:p w:rsidR="005B7586" w:rsidRPr="00700C4C" w:rsidRDefault="005B7586" w:rsidP="005B7586">
      <w:pPr>
        <w:ind w:left="360" w:firstLine="348"/>
        <w:jc w:val="both"/>
      </w:pPr>
      <w:r w:rsidRPr="00700C4C">
        <w:t>a) co najmniej 48 porty GE RJ-45.</w:t>
      </w:r>
    </w:p>
    <w:p w:rsidR="005B7586" w:rsidRPr="00700C4C" w:rsidRDefault="005B7586" w:rsidP="005B7586">
      <w:pPr>
        <w:ind w:left="360" w:firstLine="348"/>
        <w:jc w:val="both"/>
        <w:rPr>
          <w:rFonts w:cs="Calibri"/>
        </w:rPr>
      </w:pPr>
      <w:r w:rsidRPr="00700C4C">
        <w:t>b) co najmniej 4 porty GE, SFP.</w:t>
      </w:r>
    </w:p>
    <w:p w:rsidR="005B7586" w:rsidRDefault="005B7586" w:rsidP="005B7586">
      <w:pPr>
        <w:pStyle w:val="Nagwek1"/>
        <w:numPr>
          <w:ilvl w:val="0"/>
          <w:numId w:val="2"/>
        </w:numPr>
        <w:jc w:val="both"/>
      </w:pPr>
      <w:r>
        <w:rPr>
          <w:rFonts w:ascii="Calibri" w:eastAsia="Calibri" w:hAnsi="Calibri" w:cs="Calibri"/>
          <w:sz w:val="22"/>
          <w:szCs w:val="22"/>
        </w:rPr>
        <w:t>Zarządzanie</w:t>
      </w:r>
    </w:p>
    <w:p w:rsidR="005B7586" w:rsidRDefault="005B7586" w:rsidP="005B7586">
      <w:pPr>
        <w:pStyle w:val="Akapitzlist"/>
        <w:numPr>
          <w:ilvl w:val="0"/>
          <w:numId w:val="5"/>
        </w:numPr>
        <w:spacing w:after="160" w:line="254" w:lineRule="auto"/>
        <w:ind w:left="1068"/>
        <w:jc w:val="both"/>
      </w:pPr>
      <w:r>
        <w:t>Dedykowany 1 interfejs Ethernet RJ-45 do zarządzania.</w:t>
      </w:r>
    </w:p>
    <w:p w:rsidR="005B7586" w:rsidRDefault="005B7586" w:rsidP="005B7586">
      <w:pPr>
        <w:pStyle w:val="Akapitzlist"/>
        <w:numPr>
          <w:ilvl w:val="0"/>
          <w:numId w:val="8"/>
        </w:numPr>
        <w:spacing w:after="160" w:line="254" w:lineRule="auto"/>
        <w:ind w:left="1068"/>
        <w:jc w:val="both"/>
      </w:pPr>
      <w:r>
        <w:t>Wbudowany 1 port konsoli szeregowej do pełnego zarządzania lub możliwość połączenia się przy użyciu standardu RS232 poprzez port RJ45 (w takim przypadku do urządzenia musi być odpowiedni kabel zakończony z jednej strony wtyczką RJ-45 a z drugiej wtyczką żeńską DB-9)</w:t>
      </w:r>
    </w:p>
    <w:p w:rsidR="005B7586" w:rsidRDefault="005B7586" w:rsidP="005B7586">
      <w:pPr>
        <w:pStyle w:val="Akapitzlist"/>
        <w:numPr>
          <w:ilvl w:val="0"/>
          <w:numId w:val="38"/>
        </w:numPr>
        <w:spacing w:after="160" w:line="254" w:lineRule="auto"/>
        <w:ind w:left="1068"/>
        <w:jc w:val="both"/>
      </w:pPr>
      <w:r>
        <w:t xml:space="preserve">Zarządzanie przez: </w:t>
      </w:r>
      <w:proofErr w:type="spellStart"/>
      <w:r>
        <w:t>command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(w tym poprzez SSH) oraz poprzez graficzny interfejs z wykorzystaniem przeglądarki (HTTPS).</w:t>
      </w:r>
    </w:p>
    <w:p w:rsidR="005B7586" w:rsidRDefault="005B7586" w:rsidP="005B7586">
      <w:pPr>
        <w:pStyle w:val="Akapitzlist"/>
        <w:numPr>
          <w:ilvl w:val="0"/>
          <w:numId w:val="39"/>
        </w:numPr>
        <w:spacing w:after="160" w:line="254" w:lineRule="auto"/>
        <w:ind w:left="1068"/>
        <w:jc w:val="both"/>
      </w:pPr>
      <w:r>
        <w:t>Wsparcie dla SNMP co najmniej w wersji 1 i 2</w:t>
      </w:r>
    </w:p>
    <w:p w:rsidR="005B7586" w:rsidRDefault="005B7586" w:rsidP="005B7586">
      <w:pPr>
        <w:pStyle w:val="Akapitzlist"/>
        <w:numPr>
          <w:ilvl w:val="0"/>
          <w:numId w:val="21"/>
        </w:numPr>
        <w:spacing w:after="160" w:line="254" w:lineRule="auto"/>
        <w:ind w:left="1068"/>
        <w:jc w:val="both"/>
      </w:pPr>
      <w:r>
        <w:t>Funkcja zarządzania poprzez dedykowany kontroler przełączników lub system zarządzania, pozwalający na automatyczne wykrywanie, centralne konfigurowanie oraz zarządzanie przełącznikami.</w:t>
      </w:r>
    </w:p>
    <w:p w:rsidR="005B7586" w:rsidRDefault="005B7586" w:rsidP="005B7586">
      <w:pPr>
        <w:pStyle w:val="Akapitzlist"/>
        <w:numPr>
          <w:ilvl w:val="0"/>
          <w:numId w:val="27"/>
        </w:numPr>
        <w:spacing w:after="160" w:line="254" w:lineRule="auto"/>
        <w:ind w:left="1068"/>
        <w:jc w:val="both"/>
      </w:pPr>
      <w:r>
        <w:lastRenderedPageBreak/>
        <w:t>Funkcja aktualizacji oprogramowania przez TFTP/FTP i/lub port USB oraz za pomocą GUI.</w:t>
      </w:r>
    </w:p>
    <w:p w:rsidR="005B7586" w:rsidRDefault="005B7586" w:rsidP="005B7586">
      <w:pPr>
        <w:pStyle w:val="Akapitzlist"/>
        <w:numPr>
          <w:ilvl w:val="0"/>
          <w:numId w:val="44"/>
        </w:numPr>
        <w:spacing w:after="160" w:line="254" w:lineRule="auto"/>
        <w:ind w:left="1068"/>
        <w:jc w:val="both"/>
      </w:pPr>
      <w:r>
        <w:t>Konfiguracja w formie pliku tekstowego umożliwiającego edycję konfiguracji offline.</w:t>
      </w:r>
    </w:p>
    <w:p w:rsidR="005B7586" w:rsidRDefault="005B7586" w:rsidP="005B7586">
      <w:pPr>
        <w:pStyle w:val="Akapitzlist"/>
        <w:numPr>
          <w:ilvl w:val="0"/>
          <w:numId w:val="26"/>
        </w:numPr>
        <w:spacing w:after="160" w:line="254" w:lineRule="auto"/>
        <w:ind w:left="1068"/>
        <w:jc w:val="both"/>
      </w:pPr>
      <w:r>
        <w:t>Funkcja backupu konfiguracji z poziomu GUI jak również z CLI</w:t>
      </w:r>
    </w:p>
    <w:p w:rsidR="005B7586" w:rsidRDefault="005B7586" w:rsidP="005B7586">
      <w:pPr>
        <w:pStyle w:val="Akapitzlist"/>
        <w:numPr>
          <w:ilvl w:val="0"/>
          <w:numId w:val="14"/>
        </w:numPr>
        <w:spacing w:after="160" w:line="254" w:lineRule="auto"/>
        <w:ind w:left="1068"/>
        <w:jc w:val="both"/>
      </w:pPr>
      <w:r>
        <w:t>Funkcja definiowania administratorów lokalnie oraz wykorzystanie w tym celu serwerów Radius i TACACS+.</w:t>
      </w:r>
    </w:p>
    <w:p w:rsidR="005B7586" w:rsidRDefault="005B7586" w:rsidP="005B7586">
      <w:pPr>
        <w:pStyle w:val="Akapitzlist"/>
        <w:numPr>
          <w:ilvl w:val="0"/>
          <w:numId w:val="28"/>
        </w:numPr>
        <w:spacing w:after="160" w:line="254" w:lineRule="auto"/>
        <w:ind w:left="1068"/>
        <w:jc w:val="both"/>
      </w:pPr>
      <w:r>
        <w:t>Funkcja definiowania ról administratorów przydzielających tryb dostępu do wybranych części konfiguracji.</w:t>
      </w:r>
    </w:p>
    <w:p w:rsidR="005B7586" w:rsidRDefault="005B7586" w:rsidP="005B7586">
      <w:pPr>
        <w:pStyle w:val="Nagwek1"/>
        <w:numPr>
          <w:ilvl w:val="0"/>
          <w:numId w:val="2"/>
        </w:numPr>
        <w:jc w:val="both"/>
        <w:rPr>
          <w:color w:val="FF0000"/>
        </w:rPr>
      </w:pPr>
      <w:r>
        <w:rPr>
          <w:rFonts w:ascii="Calibri" w:eastAsia="Calibri" w:hAnsi="Calibri" w:cs="Calibri"/>
          <w:sz w:val="22"/>
          <w:szCs w:val="22"/>
        </w:rPr>
        <w:t>Parametry wydajnościowe</w:t>
      </w:r>
    </w:p>
    <w:p w:rsidR="005B7586" w:rsidRPr="00CF2887" w:rsidRDefault="005B7586" w:rsidP="005B7586">
      <w:pPr>
        <w:pStyle w:val="Akapitzlist"/>
        <w:numPr>
          <w:ilvl w:val="0"/>
          <w:numId w:val="30"/>
        </w:numPr>
        <w:spacing w:after="160" w:line="254" w:lineRule="auto"/>
        <w:ind w:left="1068"/>
        <w:jc w:val="both"/>
      </w:pPr>
      <w:r w:rsidRPr="00CF2887">
        <w:t xml:space="preserve">Przepustowość urządzenia - min. 100 </w:t>
      </w:r>
      <w:proofErr w:type="spellStart"/>
      <w:r w:rsidRPr="00CF2887">
        <w:t>Gbps</w:t>
      </w:r>
      <w:proofErr w:type="spellEnd"/>
      <w:r w:rsidRPr="00CF2887">
        <w:t xml:space="preserve"> (pełna prędkość, tzw. </w:t>
      </w:r>
      <w:proofErr w:type="spellStart"/>
      <w:r w:rsidRPr="00CF2887">
        <w:t>wire-speed</w:t>
      </w:r>
      <w:proofErr w:type="spellEnd"/>
      <w:r w:rsidRPr="00CF2887">
        <w:t xml:space="preserve"> na wszystkich portach)</w:t>
      </w:r>
    </w:p>
    <w:p w:rsidR="005B7586" w:rsidRPr="00CF2887" w:rsidRDefault="005B7586" w:rsidP="005B7586">
      <w:pPr>
        <w:pStyle w:val="Akapitzlist"/>
        <w:numPr>
          <w:ilvl w:val="0"/>
          <w:numId w:val="34"/>
        </w:numPr>
        <w:spacing w:after="160" w:line="254" w:lineRule="auto"/>
        <w:ind w:left="1068"/>
        <w:jc w:val="both"/>
      </w:pPr>
      <w:r w:rsidRPr="00CF2887">
        <w:t>Tablica adresów MAC o pojemności co najmniej 16k wpisów.</w:t>
      </w:r>
    </w:p>
    <w:p w:rsidR="005B7586" w:rsidRDefault="005B7586" w:rsidP="005B7586">
      <w:pPr>
        <w:pStyle w:val="Nagwek1"/>
        <w:numPr>
          <w:ilvl w:val="0"/>
          <w:numId w:val="2"/>
        </w:numPr>
        <w:jc w:val="both"/>
      </w:pPr>
      <w:r>
        <w:rPr>
          <w:rFonts w:ascii="Calibri" w:eastAsia="Calibri" w:hAnsi="Calibri" w:cs="Calibri"/>
          <w:sz w:val="22"/>
          <w:szCs w:val="22"/>
        </w:rPr>
        <w:t>Wymagane funkcje</w:t>
      </w:r>
    </w:p>
    <w:p w:rsidR="005B7586" w:rsidRDefault="005B7586" w:rsidP="005B7586">
      <w:pPr>
        <w:pStyle w:val="Akapitzlist"/>
        <w:numPr>
          <w:ilvl w:val="0"/>
          <w:numId w:val="35"/>
        </w:numPr>
        <w:spacing w:after="160" w:line="254" w:lineRule="auto"/>
        <w:ind w:left="1068"/>
        <w:jc w:val="both"/>
      </w:pPr>
      <w:r>
        <w:t xml:space="preserve">Funkcja automatycznej negocjacji prędkości i </w:t>
      </w:r>
      <w:proofErr w:type="spellStart"/>
      <w:r>
        <w:t>duplexu</w:t>
      </w:r>
      <w:proofErr w:type="spellEnd"/>
      <w:r>
        <w:t xml:space="preserve"> dla połączeń.</w:t>
      </w:r>
    </w:p>
    <w:p w:rsidR="005B7586" w:rsidRPr="00462784" w:rsidRDefault="005B7586" w:rsidP="005B7586">
      <w:pPr>
        <w:pStyle w:val="Akapitzlist"/>
        <w:numPr>
          <w:ilvl w:val="0"/>
          <w:numId w:val="7"/>
        </w:numPr>
        <w:spacing w:after="160" w:line="254" w:lineRule="auto"/>
        <w:ind w:left="1068"/>
        <w:jc w:val="both"/>
        <w:rPr>
          <w:lang w:val="en-US"/>
        </w:rPr>
      </w:pPr>
      <w:proofErr w:type="spellStart"/>
      <w:r>
        <w:rPr>
          <w:lang w:val="en-US"/>
        </w:rPr>
        <w:t>Obsługa</w:t>
      </w:r>
      <w:proofErr w:type="spellEnd"/>
      <w:r>
        <w:rPr>
          <w:lang w:val="en-US"/>
        </w:rPr>
        <w:t xml:space="preserve"> 802.1d (Spanning Tree), 802.1w (Rapid Spanning Tree), 802.1s (Multiple Spanning Tree).</w:t>
      </w:r>
    </w:p>
    <w:p w:rsidR="005B7586" w:rsidRDefault="005B7586" w:rsidP="005B7586">
      <w:pPr>
        <w:pStyle w:val="Akapitzlist"/>
        <w:numPr>
          <w:ilvl w:val="0"/>
          <w:numId w:val="43"/>
        </w:numPr>
        <w:spacing w:after="160" w:line="254" w:lineRule="auto"/>
        <w:ind w:left="1068"/>
        <w:jc w:val="both"/>
        <w:rPr>
          <w:color w:val="FF0000"/>
        </w:rPr>
      </w:pPr>
      <w:r>
        <w:t>Agregacja portów zgodna ze standardem 802.3ad.</w:t>
      </w:r>
    </w:p>
    <w:p w:rsidR="005B7586" w:rsidRPr="00CF2887" w:rsidRDefault="005B7586" w:rsidP="005B7586">
      <w:pPr>
        <w:pStyle w:val="Akapitzlist"/>
        <w:numPr>
          <w:ilvl w:val="0"/>
          <w:numId w:val="22"/>
        </w:numPr>
        <w:spacing w:after="160" w:line="254" w:lineRule="auto"/>
        <w:ind w:left="1068"/>
        <w:jc w:val="both"/>
      </w:pPr>
      <w:r w:rsidRPr="00CF2887">
        <w:t xml:space="preserve">Obsługa co najmniej 500 </w:t>
      </w:r>
      <w:proofErr w:type="spellStart"/>
      <w:r w:rsidRPr="00CF2887">
        <w:t>VLANów</w:t>
      </w:r>
      <w:proofErr w:type="spellEnd"/>
      <w:r w:rsidRPr="00CF2887">
        <w:t>, zgodna ze standardem 802.1Q.</w:t>
      </w:r>
    </w:p>
    <w:p w:rsidR="005B7586" w:rsidRDefault="005B7586" w:rsidP="005B7586">
      <w:pPr>
        <w:pStyle w:val="Akapitzlist"/>
        <w:numPr>
          <w:ilvl w:val="0"/>
          <w:numId w:val="33"/>
        </w:numPr>
        <w:spacing w:after="160" w:line="254" w:lineRule="auto"/>
        <w:ind w:left="1068"/>
        <w:jc w:val="both"/>
      </w:pPr>
      <w:r>
        <w:t xml:space="preserve">Wsparcie dla </w:t>
      </w:r>
      <w:proofErr w:type="spellStart"/>
      <w:r>
        <w:t>Private</w:t>
      </w:r>
      <w:proofErr w:type="spellEnd"/>
      <w:r>
        <w:t xml:space="preserve"> VLAN.</w:t>
      </w:r>
    </w:p>
    <w:p w:rsidR="005B7586" w:rsidRDefault="005B7586" w:rsidP="005B7586">
      <w:pPr>
        <w:pStyle w:val="Akapitzlist"/>
        <w:numPr>
          <w:ilvl w:val="0"/>
          <w:numId w:val="40"/>
        </w:numPr>
        <w:spacing w:after="160" w:line="254" w:lineRule="auto"/>
        <w:ind w:left="1068"/>
        <w:jc w:val="both"/>
      </w:pPr>
      <w:r>
        <w:t>Obsługa routingu statycznego.</w:t>
      </w:r>
    </w:p>
    <w:p w:rsidR="005B7586" w:rsidRDefault="005B7586" w:rsidP="005B7586">
      <w:pPr>
        <w:pStyle w:val="Akapitzlist"/>
        <w:numPr>
          <w:ilvl w:val="0"/>
          <w:numId w:val="25"/>
        </w:numPr>
        <w:spacing w:after="160" w:line="254" w:lineRule="auto"/>
        <w:ind w:left="1068"/>
        <w:jc w:val="both"/>
      </w:pPr>
      <w:r>
        <w:t xml:space="preserve">Obsługa </w:t>
      </w:r>
      <w:proofErr w:type="spellStart"/>
      <w:r>
        <w:t>Quality</w:t>
      </w:r>
      <w:proofErr w:type="spellEnd"/>
      <w:r>
        <w:t xml:space="preserve"> of Service, w tym zakresie: 802.1p</w:t>
      </w:r>
    </w:p>
    <w:p w:rsidR="005B7586" w:rsidRDefault="005B7586" w:rsidP="005B7586">
      <w:pPr>
        <w:pStyle w:val="Akapitzlist"/>
        <w:numPr>
          <w:ilvl w:val="0"/>
          <w:numId w:val="6"/>
        </w:numPr>
        <w:spacing w:after="160" w:line="254" w:lineRule="auto"/>
        <w:ind w:left="1068"/>
        <w:jc w:val="both"/>
      </w:pPr>
      <w:r>
        <w:t>Port-mirroring.</w:t>
      </w:r>
    </w:p>
    <w:p w:rsidR="005B7586" w:rsidRDefault="005B7586" w:rsidP="005B7586">
      <w:pPr>
        <w:pStyle w:val="Akapitzlist"/>
        <w:numPr>
          <w:ilvl w:val="0"/>
          <w:numId w:val="9"/>
        </w:numPr>
        <w:spacing w:after="160" w:line="254" w:lineRule="auto"/>
        <w:ind w:left="1068"/>
        <w:jc w:val="both"/>
      </w:pPr>
      <w:r>
        <w:t>Uwierzytelnianie 802.1x na poziomie portu.</w:t>
      </w:r>
    </w:p>
    <w:p w:rsidR="005B7586" w:rsidRDefault="005B7586" w:rsidP="005B7586">
      <w:pPr>
        <w:pStyle w:val="Akapitzlist"/>
        <w:numPr>
          <w:ilvl w:val="0"/>
          <w:numId w:val="17"/>
        </w:numPr>
        <w:spacing w:after="160" w:line="254" w:lineRule="auto"/>
        <w:ind w:left="1068"/>
        <w:jc w:val="both"/>
      </w:pPr>
      <w:r>
        <w:t>Uwierzytelnianie 802.1x w oparciu o  adres MAC.</w:t>
      </w:r>
    </w:p>
    <w:p w:rsidR="005B7586" w:rsidRDefault="005B7586" w:rsidP="005B7586">
      <w:pPr>
        <w:pStyle w:val="Akapitzlist"/>
        <w:numPr>
          <w:ilvl w:val="0"/>
          <w:numId w:val="23"/>
        </w:numPr>
        <w:spacing w:after="160" w:line="254" w:lineRule="auto"/>
        <w:ind w:left="1068"/>
        <w:jc w:val="both"/>
      </w:pPr>
      <w:r>
        <w:t xml:space="preserve">W ramach 802.1x wsparcie dla dedykowanego </w:t>
      </w:r>
      <w:proofErr w:type="spellStart"/>
      <w:r>
        <w:t>VLANu</w:t>
      </w:r>
      <w:proofErr w:type="spellEnd"/>
      <w:r>
        <w:t xml:space="preserve"> dla gości (</w:t>
      </w:r>
      <w:proofErr w:type="spellStart"/>
      <w:r>
        <w:t>guest</w:t>
      </w:r>
      <w:proofErr w:type="spellEnd"/>
      <w:r>
        <w:t xml:space="preserve"> VLAN).</w:t>
      </w:r>
    </w:p>
    <w:p w:rsidR="005B7586" w:rsidRDefault="005B7586" w:rsidP="005B7586">
      <w:pPr>
        <w:pStyle w:val="Akapitzlist"/>
        <w:numPr>
          <w:ilvl w:val="0"/>
          <w:numId w:val="4"/>
        </w:numPr>
        <w:spacing w:after="160" w:line="254" w:lineRule="auto"/>
        <w:ind w:left="1068"/>
        <w:jc w:val="both"/>
      </w:pPr>
      <w:r>
        <w:t>W ramach 802.1x wsparcie dla  urządzeń, które nie obsługują tego protokołu, na podstawie adresu MAC urządzenia.</w:t>
      </w:r>
    </w:p>
    <w:p w:rsidR="005B7586" w:rsidRPr="00F26F55" w:rsidRDefault="005B7586" w:rsidP="005B7586">
      <w:pPr>
        <w:pStyle w:val="Akapitzlist"/>
        <w:numPr>
          <w:ilvl w:val="0"/>
          <w:numId w:val="16"/>
        </w:numPr>
        <w:spacing w:after="160" w:line="254" w:lineRule="auto"/>
        <w:ind w:left="1068"/>
        <w:jc w:val="both"/>
        <w:rPr>
          <w:rFonts w:cs="Calibri"/>
        </w:rPr>
      </w:pPr>
      <w:r>
        <w:t xml:space="preserve">Obsługa protokołu </w:t>
      </w:r>
      <w:proofErr w:type="spellStart"/>
      <w:r>
        <w:t>sFlow</w:t>
      </w:r>
      <w:proofErr w:type="spellEnd"/>
      <w:r>
        <w:t>.</w:t>
      </w:r>
    </w:p>
    <w:p w:rsidR="005B7586" w:rsidRPr="00F2370C" w:rsidRDefault="005B7586" w:rsidP="005B7586">
      <w:pPr>
        <w:pStyle w:val="Akapitzlist"/>
        <w:numPr>
          <w:ilvl w:val="0"/>
          <w:numId w:val="16"/>
        </w:numPr>
        <w:spacing w:after="160" w:line="254" w:lineRule="auto"/>
        <w:ind w:left="1068"/>
        <w:jc w:val="both"/>
        <w:rPr>
          <w:rFonts w:cs="Calibri"/>
        </w:rPr>
      </w:pPr>
      <w:r w:rsidRPr="00F2370C">
        <w:rPr>
          <w:rFonts w:cs="Calibri"/>
        </w:rPr>
        <w:t xml:space="preserve">Obsługa MLAG oraz możliwość spięcia urządzenia w stos z co najmniej </w:t>
      </w:r>
      <w:r>
        <w:rPr>
          <w:rFonts w:cs="Calibri"/>
        </w:rPr>
        <w:t>2</w:t>
      </w:r>
      <w:r w:rsidRPr="00F2370C">
        <w:rPr>
          <w:rFonts w:cs="Calibri"/>
        </w:rPr>
        <w:t xml:space="preserve"> urządzeniami</w:t>
      </w:r>
    </w:p>
    <w:p w:rsidR="005B7586" w:rsidRDefault="005B7586" w:rsidP="005B7586">
      <w:pPr>
        <w:pStyle w:val="Nagwek1"/>
        <w:numPr>
          <w:ilvl w:val="0"/>
          <w:numId w:val="2"/>
        </w:num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Dodatkowe funkcje urządzenia przy integracji z </w:t>
      </w:r>
      <w:proofErr w:type="spellStart"/>
      <w:r>
        <w:rPr>
          <w:rFonts w:ascii="Calibri" w:eastAsia="Calibri" w:hAnsi="Calibri" w:cs="Calibri"/>
          <w:sz w:val="22"/>
          <w:szCs w:val="22"/>
        </w:rPr>
        <w:t>sytemem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centralnego zarządzania / NAC</w:t>
      </w:r>
    </w:p>
    <w:p w:rsidR="005B7586" w:rsidRDefault="005B7586" w:rsidP="005B7586">
      <w:pPr>
        <w:pStyle w:val="Akapitzlist"/>
        <w:numPr>
          <w:ilvl w:val="0"/>
          <w:numId w:val="37"/>
        </w:numPr>
        <w:spacing w:after="160" w:line="254" w:lineRule="auto"/>
        <w:jc w:val="both"/>
      </w:pPr>
      <w:r>
        <w:t xml:space="preserve">Przełączniki muszą wspierać tryb pracy, w którym są zarządzane przez fizyczny element nadrzędny (przełącznik lub dedykowany kontroler) (tzw. port extender lub element </w:t>
      </w:r>
      <w:proofErr w:type="spellStart"/>
      <w:r>
        <w:t>leaf</w:t>
      </w:r>
      <w:proofErr w:type="spellEnd"/>
      <w:r>
        <w:t xml:space="preserve"> w architekturze </w:t>
      </w:r>
      <w:proofErr w:type="spellStart"/>
      <w:r>
        <w:t>spine-leaf</w:t>
      </w:r>
      <w:proofErr w:type="spellEnd"/>
      <w:r>
        <w:t xml:space="preserve">). Zakres zarządzania przez element nadrzędny musi zawierać co najmniej: </w:t>
      </w:r>
    </w:p>
    <w:p w:rsidR="005B7586" w:rsidRDefault="005B7586" w:rsidP="005B7586">
      <w:pPr>
        <w:pStyle w:val="Akapitzlist"/>
        <w:numPr>
          <w:ilvl w:val="0"/>
          <w:numId w:val="18"/>
        </w:numPr>
        <w:spacing w:after="160" w:line="254" w:lineRule="auto"/>
        <w:ind w:left="1068"/>
        <w:jc w:val="both"/>
      </w:pPr>
      <w:r>
        <w:lastRenderedPageBreak/>
        <w:t xml:space="preserve">Funkcja uruchomienia </w:t>
      </w:r>
      <w:proofErr w:type="spellStart"/>
      <w:r>
        <w:t>Captive</w:t>
      </w:r>
      <w:proofErr w:type="spellEnd"/>
      <w:r>
        <w:t xml:space="preserve"> Portalu w celu identyfikacji użytkowników.</w:t>
      </w:r>
    </w:p>
    <w:p w:rsidR="005B7586" w:rsidRDefault="005B7586" w:rsidP="005B7586">
      <w:pPr>
        <w:pStyle w:val="Akapitzlist"/>
        <w:numPr>
          <w:ilvl w:val="0"/>
          <w:numId w:val="36"/>
        </w:numPr>
        <w:spacing w:after="160" w:line="254" w:lineRule="auto"/>
        <w:ind w:left="1068"/>
        <w:jc w:val="both"/>
      </w:pPr>
      <w:r>
        <w:t xml:space="preserve">Centralne zarządzanie sieciami VLAN. </w:t>
      </w:r>
    </w:p>
    <w:p w:rsidR="005B7586" w:rsidRDefault="005B7586" w:rsidP="005B7586">
      <w:pPr>
        <w:pStyle w:val="Akapitzlist"/>
        <w:numPr>
          <w:ilvl w:val="0"/>
          <w:numId w:val="29"/>
        </w:numPr>
        <w:spacing w:after="160" w:line="254" w:lineRule="auto"/>
        <w:ind w:left="1068"/>
        <w:jc w:val="both"/>
      </w:pPr>
      <w:r>
        <w:t>Rozpoznawanie urządzeń uzyskujących dostęp do sieci.</w:t>
      </w:r>
    </w:p>
    <w:p w:rsidR="005B7586" w:rsidRDefault="005B7586" w:rsidP="005B7586">
      <w:pPr>
        <w:pStyle w:val="Akapitzlist"/>
        <w:numPr>
          <w:ilvl w:val="0"/>
          <w:numId w:val="24"/>
        </w:numPr>
        <w:spacing w:after="160" w:line="254" w:lineRule="auto"/>
        <w:ind w:left="1068"/>
        <w:jc w:val="both"/>
      </w:pPr>
      <w:r>
        <w:t>Przenoszenie zidentyfikowanych urządzeń do właściwych stref. W przypadku wykrycia urządzenia niepasującego do zaakceptowanych schematów, urządzenie powinno przenieść go do strefy odizolowanej.</w:t>
      </w:r>
    </w:p>
    <w:p w:rsidR="005B7586" w:rsidRDefault="005B7586" w:rsidP="005B7586">
      <w:pPr>
        <w:pStyle w:val="Akapitzlist"/>
        <w:numPr>
          <w:ilvl w:val="0"/>
          <w:numId w:val="11"/>
        </w:numPr>
        <w:spacing w:after="160" w:line="254" w:lineRule="auto"/>
        <w:ind w:left="1068"/>
        <w:jc w:val="both"/>
      </w:pPr>
      <w:r>
        <w:t>Obsługa białych i czarnych list adresów MAC.</w:t>
      </w:r>
    </w:p>
    <w:p w:rsidR="005B7586" w:rsidRDefault="005B7586" w:rsidP="005B7586">
      <w:pPr>
        <w:pStyle w:val="Akapitzlist"/>
        <w:numPr>
          <w:ilvl w:val="0"/>
          <w:numId w:val="19"/>
        </w:numPr>
        <w:spacing w:after="160" w:line="254" w:lineRule="auto"/>
        <w:ind w:left="1068"/>
        <w:jc w:val="both"/>
      </w:pPr>
      <w:r>
        <w:t>W przypadku gdy do uruchomienia na przełączniku w/w funkcji, polegających na integracji z systemem centralnego zarządzania lub NAC wymagane są licencje, Oferent zobowiązany jest je dostarczyć .</w:t>
      </w:r>
    </w:p>
    <w:p w:rsidR="005B7586" w:rsidRDefault="005B7586" w:rsidP="005B7586">
      <w:pPr>
        <w:pStyle w:val="Akapitzlist"/>
        <w:numPr>
          <w:ilvl w:val="0"/>
          <w:numId w:val="37"/>
        </w:numPr>
        <w:spacing w:after="160" w:line="254" w:lineRule="auto"/>
        <w:jc w:val="both"/>
        <w:rPr>
          <w:rFonts w:cs="Calibri"/>
        </w:rPr>
      </w:pPr>
      <w:r>
        <w:t xml:space="preserve">Musi być możliwe redundantne połączenie z elementami zarządzającymi.   </w:t>
      </w:r>
    </w:p>
    <w:p w:rsidR="005B7586" w:rsidRDefault="005B7586" w:rsidP="005B7586">
      <w:pPr>
        <w:pStyle w:val="Nagwek1"/>
        <w:numPr>
          <w:ilvl w:val="0"/>
          <w:numId w:val="2"/>
        </w:numPr>
        <w:jc w:val="both"/>
      </w:pPr>
      <w:r>
        <w:rPr>
          <w:rFonts w:ascii="Calibri" w:eastAsia="Calibri" w:hAnsi="Calibri" w:cs="Calibri"/>
          <w:sz w:val="22"/>
          <w:szCs w:val="22"/>
        </w:rPr>
        <w:t>Funkcje urządzenia przy integracji z systemem centralnego zarządzania lub bezpieczeństwa</w:t>
      </w:r>
    </w:p>
    <w:p w:rsidR="005B7586" w:rsidRDefault="005B7586" w:rsidP="005B7586">
      <w:pPr>
        <w:pStyle w:val="Akapitzlist"/>
        <w:numPr>
          <w:ilvl w:val="0"/>
          <w:numId w:val="41"/>
        </w:numPr>
        <w:spacing w:after="160" w:line="254" w:lineRule="auto"/>
        <w:ind w:left="1068"/>
        <w:jc w:val="both"/>
      </w:pPr>
      <w:proofErr w:type="spellStart"/>
      <w:r>
        <w:t>Stateful</w:t>
      </w:r>
      <w:proofErr w:type="spellEnd"/>
      <w:r>
        <w:t xml:space="preserve"> router, umożliwiający kontrolę pomiędzy sieciami VLAN.</w:t>
      </w:r>
    </w:p>
    <w:p w:rsidR="005B7586" w:rsidRDefault="005B7586" w:rsidP="005B7586">
      <w:pPr>
        <w:pStyle w:val="Akapitzlist"/>
        <w:numPr>
          <w:ilvl w:val="0"/>
          <w:numId w:val="42"/>
        </w:numPr>
        <w:spacing w:after="160" w:line="254" w:lineRule="auto"/>
        <w:ind w:left="1068"/>
        <w:jc w:val="both"/>
      </w:pPr>
      <w:r>
        <w:t>Routing statyczny i dynamiczny (co najmniej OSPF).</w:t>
      </w:r>
    </w:p>
    <w:p w:rsidR="005B7586" w:rsidRDefault="005B7586" w:rsidP="005B7586">
      <w:pPr>
        <w:pStyle w:val="Akapitzlist"/>
        <w:numPr>
          <w:ilvl w:val="0"/>
          <w:numId w:val="32"/>
        </w:numPr>
        <w:spacing w:after="160" w:line="254" w:lineRule="auto"/>
        <w:ind w:left="1068"/>
        <w:jc w:val="both"/>
        <w:rPr>
          <w:rFonts w:cs="Calibri"/>
        </w:rPr>
      </w:pPr>
      <w:r>
        <w:t xml:space="preserve">Policy </w:t>
      </w:r>
      <w:proofErr w:type="spellStart"/>
      <w:r>
        <w:t>Based</w:t>
      </w:r>
      <w:proofErr w:type="spellEnd"/>
      <w:r>
        <w:t xml:space="preserve"> Routing.</w:t>
      </w:r>
    </w:p>
    <w:p w:rsidR="005B7586" w:rsidRDefault="005B7586" w:rsidP="005B7586">
      <w:pPr>
        <w:pStyle w:val="Nagwek1"/>
        <w:numPr>
          <w:ilvl w:val="0"/>
          <w:numId w:val="2"/>
        </w:numPr>
        <w:jc w:val="both"/>
      </w:pPr>
      <w:r>
        <w:rPr>
          <w:rFonts w:ascii="Calibri" w:eastAsia="Calibri" w:hAnsi="Calibri" w:cs="Calibri"/>
          <w:sz w:val="22"/>
          <w:szCs w:val="22"/>
        </w:rPr>
        <w:t>Gwarancja oraz wsparcie</w:t>
      </w:r>
    </w:p>
    <w:p w:rsidR="005B7586" w:rsidRDefault="005B7586" w:rsidP="005B7586">
      <w:pPr>
        <w:pStyle w:val="Akapitzlist"/>
        <w:numPr>
          <w:ilvl w:val="0"/>
          <w:numId w:val="13"/>
        </w:numPr>
        <w:spacing w:after="160" w:line="254" w:lineRule="auto"/>
        <w:jc w:val="both"/>
      </w:pPr>
      <w:r>
        <w:t>Przedmiot zamówienia</w:t>
      </w:r>
      <w:r w:rsidRPr="00DE136A">
        <w:t xml:space="preserve"> musi być objęty serwisem gwarancyjnym producenta przez okres co najmniej 12 miesięcy </w:t>
      </w:r>
      <w:r>
        <w:t xml:space="preserve">z </w:t>
      </w:r>
      <w:r w:rsidRPr="00DE136A">
        <w:t>możliwością przedłużenia gwarancji u producenta na kolejne lata</w:t>
      </w:r>
      <w:r>
        <w:t xml:space="preserve"> i</w:t>
      </w:r>
      <w:r w:rsidRPr="00DE136A">
        <w:t xml:space="preserve"> </w:t>
      </w:r>
      <w:r>
        <w:t xml:space="preserve">polegającym na naprawie lub wymianie urządzenia w przypadku jego wadliwości. W ramach tego serwisu producent musi zapewniać również dostęp do aktualizacji oprogramowania oraz wsparcie techniczne w pełnym zakresie funkcjonalnym. </w:t>
      </w:r>
    </w:p>
    <w:p w:rsidR="005B7586" w:rsidRDefault="005B7586" w:rsidP="005B7586">
      <w:pPr>
        <w:pStyle w:val="Akapitzlist"/>
        <w:numPr>
          <w:ilvl w:val="0"/>
          <w:numId w:val="13"/>
        </w:numPr>
        <w:spacing w:after="160" w:line="254" w:lineRule="auto"/>
        <w:jc w:val="both"/>
      </w:pPr>
      <w:r>
        <w:t xml:space="preserve">Wykonawca musi zapewnić pierwszą linię wsparcia w języku polskim. </w:t>
      </w:r>
    </w:p>
    <w:p w:rsidR="005B7586" w:rsidRPr="009F12FD" w:rsidRDefault="005B7586" w:rsidP="005B7586">
      <w:pPr>
        <w:jc w:val="both"/>
        <w:rPr>
          <w:b/>
        </w:rPr>
      </w:pPr>
      <w:r w:rsidRPr="009F12FD">
        <w:rPr>
          <w:b/>
        </w:rPr>
        <w:t>Załączona dokumentacja</w:t>
      </w:r>
    </w:p>
    <w:p w:rsidR="005B7586" w:rsidRDefault="005B7586" w:rsidP="005B7586">
      <w:pPr>
        <w:pStyle w:val="Akapitzlist"/>
        <w:numPr>
          <w:ilvl w:val="0"/>
          <w:numId w:val="46"/>
        </w:numPr>
        <w:spacing w:after="160" w:line="254" w:lineRule="auto"/>
        <w:jc w:val="both"/>
      </w:pPr>
      <w:r>
        <w:t>W celu potwierdzenia kompetencji do świadczenia pierwszej linii wsparcia należy przedłożyć następujące dokumenty wraz z ofertą:</w:t>
      </w:r>
    </w:p>
    <w:p w:rsidR="005B7586" w:rsidRDefault="005B7586" w:rsidP="005B7586">
      <w:pPr>
        <w:pStyle w:val="Akapitzlist"/>
        <w:numPr>
          <w:ilvl w:val="0"/>
          <w:numId w:val="3"/>
        </w:numPr>
        <w:spacing w:after="160" w:line="254" w:lineRule="auto"/>
        <w:ind w:left="1068"/>
        <w:jc w:val="both"/>
      </w:pPr>
      <w:r>
        <w:t xml:space="preserve">Certyfikaty techniczne co najmniej dwóch inżynierów wystawione przez producenta oferowanych urządzeń. Jeśli producent stosuje stopniowanie certyfikatów technicznych to co najmniej jeden inżynier powinien posiadać najwyższy stopień certyfikacji. </w:t>
      </w:r>
    </w:p>
    <w:p w:rsidR="005B7586" w:rsidRDefault="005B7586" w:rsidP="005B7586">
      <w:pPr>
        <w:pStyle w:val="Akapitzlist"/>
        <w:numPr>
          <w:ilvl w:val="0"/>
          <w:numId w:val="20"/>
        </w:numPr>
        <w:spacing w:after="160" w:line="254" w:lineRule="auto"/>
        <w:ind w:left="1068"/>
        <w:jc w:val="both"/>
      </w:pPr>
      <w:r>
        <w:t xml:space="preserve">Certyfikat ISO 9001 do świadczenia usług serwisowych oferowanych urządzeń lub certyfikat </w:t>
      </w:r>
      <w:proofErr w:type="spellStart"/>
      <w:r>
        <w:t>równowazny</w:t>
      </w:r>
      <w:proofErr w:type="spellEnd"/>
      <w:r>
        <w:t>.</w:t>
      </w:r>
    </w:p>
    <w:p w:rsidR="005B7586" w:rsidRDefault="005B7586" w:rsidP="005B7586">
      <w:pPr>
        <w:pStyle w:val="Akapitzlist"/>
        <w:numPr>
          <w:ilvl w:val="0"/>
          <w:numId w:val="46"/>
        </w:numPr>
        <w:jc w:val="both"/>
      </w:pPr>
      <w:r w:rsidRPr="009F12FD">
        <w:t>Wykonawca musi załączyć do oferty spec</w:t>
      </w:r>
      <w:r>
        <w:t>yfikację techniczną oferowanych przełączników</w:t>
      </w:r>
      <w:r w:rsidRPr="009F12FD">
        <w:t xml:space="preserve"> przygotowaną przez producenta i potwierdzającą spełnienie opisanych wymagań.</w:t>
      </w:r>
      <w:r>
        <w:t xml:space="preserve"> </w:t>
      </w:r>
      <w:r w:rsidRPr="00581EA2">
        <w:t>Zamawiający dopuszcza dołączenie dokumentacji w języku angielskim.</w:t>
      </w:r>
    </w:p>
    <w:p w:rsidR="004520B8" w:rsidRDefault="005B7586" w:rsidP="00D47CF2">
      <w:pPr>
        <w:pStyle w:val="Akapitzlist"/>
        <w:numPr>
          <w:ilvl w:val="0"/>
          <w:numId w:val="46"/>
        </w:numPr>
        <w:jc w:val="both"/>
      </w:pPr>
      <w:r w:rsidRPr="009F12FD">
        <w:t xml:space="preserve">W przypadku zaoferowania </w:t>
      </w:r>
      <w:r>
        <w:t xml:space="preserve">rozwiązania równoważnego </w:t>
      </w:r>
      <w:r w:rsidRPr="009F12FD">
        <w:t xml:space="preserve">do wskazanego przez Zamawiającego wykonawca musi w ofercie udowodnić, że funkcjonalność oferowanego </w:t>
      </w:r>
      <w:r>
        <w:t xml:space="preserve">przełącznika i systemu (systemów) </w:t>
      </w:r>
      <w:r w:rsidRPr="009F12FD">
        <w:t xml:space="preserve">jest równoważna w stosunku do </w:t>
      </w:r>
      <w:r>
        <w:t>rozwiązania</w:t>
      </w:r>
      <w:r w:rsidRPr="009F12FD">
        <w:t xml:space="preserve"> wskazanego przez Zamawiającego, jak również, że </w:t>
      </w:r>
      <w:r>
        <w:t>przełączniki</w:t>
      </w:r>
      <w:r w:rsidRPr="009F12FD">
        <w:t xml:space="preserve"> równoważne posiada</w:t>
      </w:r>
      <w:r>
        <w:t>ją</w:t>
      </w:r>
      <w:r w:rsidRPr="009F12FD">
        <w:t xml:space="preserve"> </w:t>
      </w:r>
      <w:r>
        <w:t>nie gorsze parametry techniczne.</w:t>
      </w:r>
      <w:bookmarkStart w:id="1" w:name="_GoBack"/>
      <w:bookmarkEnd w:id="1"/>
    </w:p>
    <w:sectPr w:rsidR="00452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39"/>
    <w:multiLevelType w:val="single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3F"/>
    <w:multiLevelType w:val="single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4" w15:restartNumberingAfterBreak="0">
    <w:nsid w:val="00000049"/>
    <w:multiLevelType w:val="singleLevel"/>
    <w:tmpl w:val="00000049"/>
    <w:name w:val="WW8Num7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5" w15:restartNumberingAfterBreak="0">
    <w:nsid w:val="0000004A"/>
    <w:multiLevelType w:val="singleLevel"/>
    <w:tmpl w:val="0000004A"/>
    <w:name w:val="WW8Num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4B"/>
    <w:multiLevelType w:val="singleLevel"/>
    <w:tmpl w:val="0000004B"/>
    <w:name w:val="WW8Num7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7" w15:restartNumberingAfterBreak="0">
    <w:nsid w:val="0000004D"/>
    <w:multiLevelType w:val="singleLevel"/>
    <w:tmpl w:val="0000004D"/>
    <w:name w:val="WW8Num7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4E"/>
    <w:multiLevelType w:val="singleLevel"/>
    <w:tmpl w:val="0000004E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9" w15:restartNumberingAfterBreak="0">
    <w:nsid w:val="00000053"/>
    <w:multiLevelType w:val="singleLevel"/>
    <w:tmpl w:val="00000053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n-US"/>
      </w:rPr>
    </w:lvl>
  </w:abstractNum>
  <w:abstractNum w:abstractNumId="30" w15:restartNumberingAfterBreak="0">
    <w:nsid w:val="00000059"/>
    <w:multiLevelType w:val="singleLevel"/>
    <w:tmpl w:val="00000059"/>
    <w:name w:val="WW8Num8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1" w15:restartNumberingAfterBreak="0">
    <w:nsid w:val="0000005C"/>
    <w:multiLevelType w:val="singleLevel"/>
    <w:tmpl w:val="0000005C"/>
    <w:name w:val="WW8Num92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32" w15:restartNumberingAfterBreak="0">
    <w:nsid w:val="0000005D"/>
    <w:multiLevelType w:val="singleLevel"/>
    <w:tmpl w:val="0000005D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3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4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5" w15:restartNumberingAfterBreak="0">
    <w:nsid w:val="00000065"/>
    <w:multiLevelType w:val="singleLevel"/>
    <w:tmpl w:val="00000065"/>
    <w:name w:val="WW8Num1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68"/>
    <w:multiLevelType w:val="singleLevel"/>
    <w:tmpl w:val="00000068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7" w15:restartNumberingAfterBreak="0">
    <w:nsid w:val="00000069"/>
    <w:multiLevelType w:val="singleLevel"/>
    <w:tmpl w:val="00000069"/>
    <w:name w:val="WW8Num1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8" w15:restartNumberingAfterBreak="0">
    <w:nsid w:val="0000006F"/>
    <w:multiLevelType w:val="singleLevel"/>
    <w:tmpl w:val="0000006F"/>
    <w:name w:val="WW8Num1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9" w15:restartNumberingAfterBreak="0">
    <w:nsid w:val="00000071"/>
    <w:multiLevelType w:val="singleLevel"/>
    <w:tmpl w:val="00000071"/>
    <w:name w:val="WW8Num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0" w15:restartNumberingAfterBreak="0">
    <w:nsid w:val="00000072"/>
    <w:multiLevelType w:val="singleLevel"/>
    <w:tmpl w:val="00000072"/>
    <w:name w:val="WW8Num1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1" w15:restartNumberingAfterBreak="0">
    <w:nsid w:val="0000007F"/>
    <w:multiLevelType w:val="singleLevel"/>
    <w:tmpl w:val="0000007F"/>
    <w:name w:val="WW8Num1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84"/>
    <w:multiLevelType w:val="singleLevel"/>
    <w:tmpl w:val="0A7E091C"/>
    <w:name w:val="WW8Num1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43" w15:restartNumberingAfterBreak="0">
    <w:nsid w:val="00000085"/>
    <w:multiLevelType w:val="singleLevel"/>
    <w:tmpl w:val="00000085"/>
    <w:name w:val="WW8Num1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4" w15:restartNumberingAfterBreak="0">
    <w:nsid w:val="00000088"/>
    <w:multiLevelType w:val="singleLevel"/>
    <w:tmpl w:val="00000088"/>
    <w:name w:val="WW8Num1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5" w15:restartNumberingAfterBreak="0">
    <w:nsid w:val="4FCE4D3A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3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C7"/>
    <w:rsid w:val="004520B8"/>
    <w:rsid w:val="005B7586"/>
    <w:rsid w:val="00D47CF2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FAA77-0E2D-49DF-B458-44FDA411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586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5B7586"/>
    <w:pPr>
      <w:keepNext/>
      <w:numPr>
        <w:numId w:val="1"/>
      </w:numPr>
      <w:spacing w:before="240" w:after="120" w:line="276" w:lineRule="auto"/>
      <w:outlineLvl w:val="0"/>
    </w:pPr>
    <w:rPr>
      <w:rFonts w:ascii="Arial" w:eastAsia="Microsoft YaHei" w:hAnsi="Arial" w:cs="Mang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7586"/>
    <w:rPr>
      <w:rFonts w:ascii="Arial" w:eastAsia="Microsoft YaHei" w:hAnsi="Arial" w:cs="Mangal"/>
      <w:b/>
      <w:bCs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5B7586"/>
    <w:pPr>
      <w:spacing w:after="200" w:line="276" w:lineRule="auto"/>
      <w:ind w:left="720"/>
    </w:pPr>
  </w:style>
  <w:style w:type="paragraph" w:styleId="Nagwek">
    <w:name w:val="header"/>
    <w:basedOn w:val="Normalny"/>
    <w:link w:val="NagwekZnak"/>
    <w:uiPriority w:val="99"/>
    <w:unhideWhenUsed/>
    <w:rsid w:val="005B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586"/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75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7586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2020-11-13T13:37:00Z</dcterms:created>
  <dcterms:modified xsi:type="dcterms:W3CDTF">2020-11-13T13:43:00Z</dcterms:modified>
</cp:coreProperties>
</file>