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00B" w:rsidRDefault="00A1100B" w:rsidP="00A1100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16"/>
          <w:szCs w:val="32"/>
        </w:rPr>
      </w:pPr>
      <w:r>
        <w:rPr>
          <w:rFonts w:ascii="Arial" w:eastAsia="Times New Roman" w:hAnsi="Arial" w:cs="Arial"/>
          <w:color w:val="000000"/>
          <w:sz w:val="16"/>
          <w:szCs w:val="32"/>
        </w:rPr>
        <w:t>Z</w:t>
      </w:r>
      <w:r w:rsidRPr="00A1100B">
        <w:rPr>
          <w:rFonts w:ascii="Arial" w:eastAsia="Times New Roman" w:hAnsi="Arial" w:cs="Arial"/>
          <w:color w:val="000000"/>
          <w:sz w:val="16"/>
          <w:szCs w:val="32"/>
        </w:rPr>
        <w:t xml:space="preserve">ałącznik </w:t>
      </w:r>
      <w:r w:rsidR="00A540B2">
        <w:rPr>
          <w:rFonts w:ascii="Arial" w:eastAsia="Times New Roman" w:hAnsi="Arial" w:cs="Arial"/>
          <w:color w:val="000000"/>
          <w:sz w:val="16"/>
          <w:szCs w:val="32"/>
        </w:rPr>
        <w:t xml:space="preserve">nr </w:t>
      </w:r>
      <w:r w:rsidRPr="00A1100B">
        <w:rPr>
          <w:rFonts w:ascii="Arial" w:eastAsia="Times New Roman" w:hAnsi="Arial" w:cs="Arial"/>
          <w:color w:val="000000"/>
          <w:sz w:val="16"/>
          <w:szCs w:val="32"/>
        </w:rPr>
        <w:t>1</w:t>
      </w:r>
    </w:p>
    <w:p w:rsidR="00A1100B" w:rsidRPr="00A1100B" w:rsidRDefault="00A540B2" w:rsidP="00A1100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16"/>
          <w:szCs w:val="32"/>
        </w:rPr>
      </w:pPr>
      <w:r>
        <w:rPr>
          <w:rFonts w:ascii="Arial" w:eastAsia="Times New Roman" w:hAnsi="Arial" w:cs="Arial"/>
          <w:color w:val="000000"/>
          <w:sz w:val="16"/>
          <w:szCs w:val="32"/>
        </w:rPr>
        <w:t>d</w:t>
      </w:r>
      <w:r w:rsidR="00A1100B" w:rsidRPr="00A1100B">
        <w:rPr>
          <w:rFonts w:ascii="Arial" w:eastAsia="Times New Roman" w:hAnsi="Arial" w:cs="Arial"/>
          <w:color w:val="000000"/>
          <w:sz w:val="16"/>
          <w:szCs w:val="32"/>
        </w:rPr>
        <w:t>o formularza ofertowego</w:t>
      </w:r>
      <w:r>
        <w:rPr>
          <w:rFonts w:ascii="Arial" w:eastAsia="Times New Roman" w:hAnsi="Arial" w:cs="Arial"/>
          <w:color w:val="000000"/>
          <w:sz w:val="16"/>
          <w:szCs w:val="32"/>
        </w:rPr>
        <w:t xml:space="preserve"> nr 2f</w:t>
      </w:r>
    </w:p>
    <w:p w:rsidR="004702E0" w:rsidRPr="001A2E4E" w:rsidRDefault="004702E0" w:rsidP="004702E0">
      <w:pPr>
        <w:rPr>
          <w:rFonts w:ascii="Arial" w:hAnsi="Arial" w:cs="Arial"/>
          <w:b/>
          <w:sz w:val="32"/>
          <w:szCs w:val="32"/>
        </w:rPr>
      </w:pPr>
      <w:r w:rsidRPr="001A2E4E">
        <w:rPr>
          <w:rFonts w:ascii="Arial" w:eastAsia="Times New Roman" w:hAnsi="Arial" w:cs="Arial"/>
          <w:b/>
          <w:color w:val="000000"/>
          <w:sz w:val="32"/>
          <w:szCs w:val="32"/>
        </w:rPr>
        <w:t>Część</w:t>
      </w:r>
      <w:r>
        <w:rPr>
          <w:rFonts w:ascii="Arial" w:eastAsia="Times New Roman" w:hAnsi="Arial" w:cs="Arial"/>
          <w:b/>
          <w:color w:val="000000"/>
          <w:sz w:val="32"/>
          <w:szCs w:val="32"/>
        </w:rPr>
        <w:t xml:space="preserve"> VI</w:t>
      </w:r>
    </w:p>
    <w:tbl>
      <w:tblPr>
        <w:tblW w:w="908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1"/>
        <w:gridCol w:w="2261"/>
        <w:gridCol w:w="6360"/>
      </w:tblGrid>
      <w:tr w:rsidR="004702E0" w:rsidRPr="001D5522" w:rsidTr="0013490E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02E0" w:rsidRPr="001D5522" w:rsidRDefault="004702E0" w:rsidP="0013490E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1D5522">
              <w:rPr>
                <w:rFonts w:cs="Calibri"/>
                <w:b/>
                <w:sz w:val="20"/>
                <w:szCs w:val="20"/>
              </w:rPr>
              <w:t>L.P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02E0" w:rsidRPr="001D5522" w:rsidRDefault="004702E0" w:rsidP="0013490E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1D5522">
              <w:rPr>
                <w:rFonts w:cs="Calibri"/>
                <w:b/>
                <w:sz w:val="20"/>
                <w:szCs w:val="20"/>
              </w:rPr>
              <w:t>Parametr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02E0" w:rsidRPr="001D5522" w:rsidRDefault="004702E0" w:rsidP="0013490E">
            <w:pPr>
              <w:spacing w:after="0" w:line="240" w:lineRule="auto"/>
              <w:jc w:val="center"/>
            </w:pPr>
            <w:r w:rsidRPr="001D5522">
              <w:rPr>
                <w:rFonts w:cs="Calibri"/>
                <w:b/>
                <w:sz w:val="20"/>
                <w:szCs w:val="20"/>
              </w:rPr>
              <w:t>Charakterystyka</w:t>
            </w:r>
          </w:p>
        </w:tc>
      </w:tr>
      <w:tr w:rsidR="004702E0" w:rsidRPr="001D5522" w:rsidTr="0013490E">
        <w:trPr>
          <w:trHeight w:val="441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02E0" w:rsidRPr="001F212C" w:rsidRDefault="004702E0" w:rsidP="0013490E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1F212C">
              <w:rPr>
                <w:rFonts w:cs="Calibri"/>
                <w:b/>
                <w:sz w:val="20"/>
                <w:szCs w:val="20"/>
              </w:rPr>
              <w:t>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02E0" w:rsidRPr="001D5522" w:rsidRDefault="004702E0" w:rsidP="004702E0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1D5522">
              <w:rPr>
                <w:rFonts w:cs="Calibri"/>
                <w:b/>
                <w:sz w:val="20"/>
                <w:szCs w:val="20"/>
              </w:rPr>
              <w:t xml:space="preserve">Model </w:t>
            </w:r>
            <w:r w:rsidR="00034B1F">
              <w:rPr>
                <w:rFonts w:cs="Calibri"/>
                <w:b/>
                <w:sz w:val="20"/>
                <w:szCs w:val="20"/>
              </w:rPr>
              <w:t xml:space="preserve">oferowanego </w:t>
            </w:r>
            <w:r>
              <w:rPr>
                <w:rFonts w:cs="Calibri"/>
                <w:b/>
                <w:sz w:val="20"/>
                <w:szCs w:val="20"/>
              </w:rPr>
              <w:t>routera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2E0" w:rsidRPr="001D5522" w:rsidRDefault="004702E0" w:rsidP="0013490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702E0" w:rsidRPr="001D5522" w:rsidTr="0013490E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02E0" w:rsidRPr="001F212C" w:rsidRDefault="004702E0" w:rsidP="0013490E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02E0" w:rsidRPr="001D5522" w:rsidRDefault="004702E0" w:rsidP="0013490E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 xml:space="preserve">Typ licencji serwisowej </w:t>
            </w:r>
            <w:r w:rsidR="00034B1F">
              <w:rPr>
                <w:rFonts w:cs="Calibri"/>
                <w:b/>
                <w:sz w:val="20"/>
                <w:szCs w:val="20"/>
              </w:rPr>
              <w:t xml:space="preserve">oferowanego </w:t>
            </w:r>
            <w:r>
              <w:rPr>
                <w:rFonts w:cs="Calibri"/>
                <w:b/>
                <w:sz w:val="20"/>
                <w:szCs w:val="20"/>
              </w:rPr>
              <w:t>routera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2E0" w:rsidRPr="001D5522" w:rsidRDefault="004702E0" w:rsidP="0013490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702E0" w:rsidRPr="001D5522" w:rsidTr="0013490E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02E0" w:rsidRPr="001F212C" w:rsidRDefault="004702E0" w:rsidP="004702E0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02E0" w:rsidRPr="001D5522" w:rsidRDefault="004702E0" w:rsidP="004702E0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Moduły</w:t>
            </w:r>
            <w:r w:rsidR="00034B1F">
              <w:rPr>
                <w:rFonts w:cs="Calibri"/>
                <w:b/>
                <w:sz w:val="20"/>
                <w:szCs w:val="20"/>
              </w:rPr>
              <w:t xml:space="preserve"> oferowanego</w:t>
            </w:r>
            <w:r>
              <w:rPr>
                <w:rFonts w:cs="Calibri"/>
                <w:b/>
                <w:sz w:val="20"/>
                <w:szCs w:val="20"/>
              </w:rPr>
              <w:t xml:space="preserve"> routera objęte wsparciem</w:t>
            </w:r>
            <w:r w:rsidR="00034B1F">
              <w:rPr>
                <w:rFonts w:cs="Calibri"/>
                <w:b/>
                <w:sz w:val="20"/>
                <w:szCs w:val="20"/>
              </w:rPr>
              <w:t xml:space="preserve"> w ramach zaoferowanej licencji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2E0" w:rsidRPr="001D5522" w:rsidRDefault="004702E0" w:rsidP="004702E0">
            <w:pPr>
              <w:spacing w:after="0" w:line="240" w:lineRule="auto"/>
            </w:pPr>
          </w:p>
        </w:tc>
      </w:tr>
      <w:tr w:rsidR="004702E0" w:rsidRPr="001D5522" w:rsidTr="0013490E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02E0" w:rsidRPr="001F212C" w:rsidRDefault="004702E0" w:rsidP="004702E0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02E0" w:rsidRPr="001D5522" w:rsidRDefault="004702E0" w:rsidP="004702E0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 xml:space="preserve">Długość gwarancji </w:t>
            </w:r>
            <w:r w:rsidR="00034B1F">
              <w:rPr>
                <w:rFonts w:cs="Calibri"/>
                <w:b/>
                <w:sz w:val="20"/>
                <w:szCs w:val="20"/>
              </w:rPr>
              <w:t xml:space="preserve">oferowanego </w:t>
            </w:r>
            <w:r>
              <w:rPr>
                <w:rFonts w:cs="Calibri"/>
                <w:b/>
                <w:sz w:val="20"/>
                <w:szCs w:val="20"/>
              </w:rPr>
              <w:t>routera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2E0" w:rsidRPr="001D5522" w:rsidRDefault="004702E0" w:rsidP="004702E0">
            <w:pPr>
              <w:spacing w:after="0" w:line="240" w:lineRule="auto"/>
              <w:rPr>
                <w:color w:val="000000"/>
              </w:rPr>
            </w:pPr>
          </w:p>
        </w:tc>
      </w:tr>
      <w:tr w:rsidR="004702E0" w:rsidRPr="001D5522" w:rsidTr="0013490E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02E0" w:rsidRPr="001F212C" w:rsidRDefault="004702E0" w:rsidP="004702E0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02E0" w:rsidRPr="001D5522" w:rsidRDefault="004702E0" w:rsidP="004702E0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 xml:space="preserve">Długość wsparcia technicznego dla </w:t>
            </w:r>
            <w:r w:rsidR="00034B1F">
              <w:rPr>
                <w:rFonts w:cs="Calibri"/>
                <w:b/>
                <w:sz w:val="20"/>
                <w:szCs w:val="20"/>
              </w:rPr>
              <w:t xml:space="preserve">oferowanego </w:t>
            </w:r>
            <w:r>
              <w:rPr>
                <w:rFonts w:cs="Calibri"/>
                <w:b/>
                <w:sz w:val="20"/>
                <w:szCs w:val="20"/>
              </w:rPr>
              <w:t>routera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2E0" w:rsidRPr="001D5522" w:rsidRDefault="004702E0" w:rsidP="004702E0">
            <w:pPr>
              <w:spacing w:after="0" w:line="240" w:lineRule="auto"/>
            </w:pPr>
          </w:p>
        </w:tc>
      </w:tr>
      <w:tr w:rsidR="004702E0" w:rsidRPr="001D5522" w:rsidTr="0013490E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02E0" w:rsidRPr="001F212C" w:rsidRDefault="004702E0" w:rsidP="004702E0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02E0" w:rsidRPr="001D5522" w:rsidRDefault="004702E0" w:rsidP="004702E0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Typ licencji serwisowej dla posiadanego routera</w:t>
            </w:r>
            <w:r w:rsidR="00034B1F">
              <w:rPr>
                <w:rFonts w:cs="Calibri"/>
                <w:b/>
                <w:sz w:val="20"/>
                <w:szCs w:val="20"/>
              </w:rPr>
              <w:t xml:space="preserve"> Fortigate-61F lub opis rozwiązania alternatywnego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2E0" w:rsidRPr="001D5522" w:rsidRDefault="004702E0" w:rsidP="004702E0">
            <w:pPr>
              <w:spacing w:after="0" w:line="240" w:lineRule="auto"/>
            </w:pPr>
          </w:p>
        </w:tc>
      </w:tr>
      <w:tr w:rsidR="004702E0" w:rsidRPr="001D5522" w:rsidTr="0013490E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02E0" w:rsidRPr="001F212C" w:rsidRDefault="004702E0" w:rsidP="004702E0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02E0" w:rsidRPr="001D5522" w:rsidRDefault="00034B1F" w:rsidP="004702E0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Moduły posiadanego routera Fortigate-61F objęte wsparciem w ramach zaoferowanej licencji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2E0" w:rsidRPr="00034B1F" w:rsidRDefault="004702E0" w:rsidP="004702E0">
            <w:pPr>
              <w:spacing w:after="0" w:line="240" w:lineRule="auto"/>
            </w:pPr>
          </w:p>
        </w:tc>
      </w:tr>
      <w:tr w:rsidR="004702E0" w:rsidRPr="001D5522" w:rsidTr="0013490E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02E0" w:rsidRPr="001F212C" w:rsidRDefault="004702E0" w:rsidP="004702E0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02E0" w:rsidRPr="001D5522" w:rsidRDefault="00034B1F" w:rsidP="00034B1F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Długość okresu przedłużenia wsparcia technicznego dla posiadanego routera Fortigate-61F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02E0" w:rsidRPr="001D5522" w:rsidRDefault="004702E0" w:rsidP="004702E0">
            <w:pPr>
              <w:spacing w:after="0" w:line="240" w:lineRule="auto"/>
            </w:pPr>
          </w:p>
        </w:tc>
      </w:tr>
      <w:tr w:rsidR="00034B1F" w:rsidRPr="001D5522" w:rsidTr="0013490E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4B1F" w:rsidRPr="001F212C" w:rsidRDefault="00034B1F" w:rsidP="00034B1F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4B1F" w:rsidRPr="001D5522" w:rsidRDefault="00034B1F" w:rsidP="00034B1F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Typ licencji serwisowej dla posiadanego routera Fortigate-50E lub opis rozwiązania alternatywnego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4B1F" w:rsidRPr="001D5522" w:rsidRDefault="00034B1F" w:rsidP="00034B1F">
            <w:pPr>
              <w:spacing w:after="0" w:line="240" w:lineRule="auto"/>
              <w:jc w:val="both"/>
            </w:pPr>
          </w:p>
        </w:tc>
      </w:tr>
      <w:tr w:rsidR="00034B1F" w:rsidRPr="001D5522" w:rsidTr="0013490E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4B1F" w:rsidRPr="001F212C" w:rsidRDefault="00034B1F" w:rsidP="00034B1F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10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4B1F" w:rsidRPr="001D5522" w:rsidRDefault="00034B1F" w:rsidP="00034B1F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Moduły posiadanego routera Fortigate-50E objęte wsparciem w ramach zaoferowanej licencji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4B1F" w:rsidRPr="001D5522" w:rsidRDefault="00034B1F" w:rsidP="00034B1F">
            <w:pPr>
              <w:spacing w:after="0" w:line="240" w:lineRule="auto"/>
              <w:rPr>
                <w:color w:val="000000"/>
              </w:rPr>
            </w:pPr>
          </w:p>
        </w:tc>
      </w:tr>
      <w:tr w:rsidR="00034B1F" w:rsidRPr="001D5522" w:rsidTr="0013490E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4B1F" w:rsidRPr="001F212C" w:rsidRDefault="00034B1F" w:rsidP="00034B1F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11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4B1F" w:rsidRPr="001D5522" w:rsidRDefault="00034B1F" w:rsidP="00034B1F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Długość okresu przedłużenia wsparcia technicznego dla posiadanego routera Fortigate-50E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4B1F" w:rsidRPr="001D5522" w:rsidRDefault="00034B1F" w:rsidP="00034B1F">
            <w:pPr>
              <w:shd w:val="clear" w:color="auto" w:fill="FFFFFF"/>
              <w:spacing w:after="0" w:line="257" w:lineRule="atLeast"/>
            </w:pPr>
          </w:p>
        </w:tc>
      </w:tr>
      <w:tr w:rsidR="00034B1F" w:rsidRPr="001D5522" w:rsidTr="0013490E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4B1F" w:rsidRDefault="00034B1F" w:rsidP="00034B1F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12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4B1F" w:rsidRPr="001D5522" w:rsidRDefault="00034B1F" w:rsidP="00034B1F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Typ licencji serwisowej dla posiadanego</w:t>
            </w:r>
            <w:r>
              <w:t xml:space="preserve"> </w:t>
            </w:r>
            <w:r>
              <w:rPr>
                <w:rFonts w:cs="Calibri"/>
                <w:b/>
                <w:sz w:val="20"/>
                <w:szCs w:val="20"/>
              </w:rPr>
              <w:t>Access Pointa</w:t>
            </w:r>
            <w:r w:rsidRPr="00034B1F">
              <w:rPr>
                <w:rFonts w:cs="Calibri"/>
                <w:b/>
                <w:sz w:val="20"/>
                <w:szCs w:val="20"/>
              </w:rPr>
              <w:t xml:space="preserve"> FortiAP-221E</w:t>
            </w:r>
            <w:r>
              <w:rPr>
                <w:rFonts w:cs="Calibri"/>
                <w:b/>
                <w:sz w:val="20"/>
                <w:szCs w:val="20"/>
              </w:rPr>
              <w:t xml:space="preserve"> lub opis rozwiązania alternatywnego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4B1F" w:rsidRPr="001D5522" w:rsidRDefault="00034B1F" w:rsidP="00034B1F">
            <w:pPr>
              <w:spacing w:after="0" w:line="240" w:lineRule="auto"/>
              <w:rPr>
                <w:color w:val="000000"/>
              </w:rPr>
            </w:pPr>
          </w:p>
        </w:tc>
      </w:tr>
      <w:tr w:rsidR="00034B1F" w:rsidRPr="001D5522" w:rsidTr="0013490E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4B1F" w:rsidRDefault="00034B1F" w:rsidP="00034B1F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13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4B1F" w:rsidRPr="001D5522" w:rsidRDefault="00034B1F" w:rsidP="00034B1F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 xml:space="preserve">Długość okresu przedłużenia wsparcia technicznego dla </w:t>
            </w:r>
            <w:r>
              <w:rPr>
                <w:rFonts w:cs="Calibri"/>
                <w:b/>
                <w:sz w:val="20"/>
                <w:szCs w:val="20"/>
              </w:rPr>
              <w:lastRenderedPageBreak/>
              <w:t>posiadanego Access Pointa</w:t>
            </w:r>
            <w:r w:rsidRPr="00034B1F">
              <w:rPr>
                <w:rFonts w:cs="Calibri"/>
                <w:b/>
                <w:sz w:val="20"/>
                <w:szCs w:val="20"/>
              </w:rPr>
              <w:t xml:space="preserve"> FortiAP-221E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4B1F" w:rsidRPr="001D5522" w:rsidRDefault="00034B1F" w:rsidP="00034B1F">
            <w:pPr>
              <w:spacing w:after="0" w:line="240" w:lineRule="auto"/>
              <w:rPr>
                <w:color w:val="000000"/>
              </w:rPr>
            </w:pPr>
          </w:p>
        </w:tc>
      </w:tr>
      <w:tr w:rsidR="00034B1F" w:rsidRPr="001D5522" w:rsidTr="0013490E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4B1F" w:rsidRDefault="00034B1F" w:rsidP="00034B1F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lastRenderedPageBreak/>
              <w:t>14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4B1F" w:rsidRPr="001D5522" w:rsidRDefault="00034B1F" w:rsidP="00034B1F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Nazwa</w:t>
            </w:r>
            <w:r w:rsidRPr="00034B1F">
              <w:rPr>
                <w:rFonts w:cs="Calibri"/>
                <w:b/>
                <w:sz w:val="20"/>
                <w:szCs w:val="20"/>
              </w:rPr>
              <w:t xml:space="preserve"> </w:t>
            </w:r>
            <w:r>
              <w:rPr>
                <w:rFonts w:cs="Calibri"/>
                <w:b/>
                <w:sz w:val="20"/>
                <w:szCs w:val="20"/>
              </w:rPr>
              <w:t>centralnego</w:t>
            </w:r>
            <w:r w:rsidRPr="00034B1F">
              <w:rPr>
                <w:rFonts w:cs="Calibri"/>
                <w:b/>
                <w:sz w:val="20"/>
                <w:szCs w:val="20"/>
              </w:rPr>
              <w:t xml:space="preserve"> system</w:t>
            </w:r>
            <w:r>
              <w:rPr>
                <w:rFonts w:cs="Calibri"/>
                <w:b/>
                <w:sz w:val="20"/>
                <w:szCs w:val="20"/>
              </w:rPr>
              <w:t>u</w:t>
            </w:r>
            <w:r w:rsidRPr="00034B1F">
              <w:rPr>
                <w:rFonts w:cs="Calibri"/>
                <w:b/>
                <w:sz w:val="20"/>
                <w:szCs w:val="20"/>
              </w:rPr>
              <w:t xml:space="preserve"> logowania i raportowania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4B1F" w:rsidRPr="001D5522" w:rsidRDefault="00034B1F" w:rsidP="00034B1F">
            <w:pPr>
              <w:spacing w:after="0" w:line="240" w:lineRule="auto"/>
              <w:rPr>
                <w:color w:val="000000"/>
              </w:rPr>
            </w:pPr>
          </w:p>
        </w:tc>
      </w:tr>
      <w:tr w:rsidR="00034B1F" w:rsidRPr="001D5522" w:rsidTr="0013490E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4B1F" w:rsidRDefault="00034B1F" w:rsidP="00034B1F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15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4B1F" w:rsidRPr="001D5522" w:rsidRDefault="00034B1F" w:rsidP="00034B1F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Wersja</w:t>
            </w:r>
            <w:r w:rsidRPr="00034B1F">
              <w:rPr>
                <w:rFonts w:cs="Calibri"/>
                <w:b/>
                <w:sz w:val="20"/>
                <w:szCs w:val="20"/>
              </w:rPr>
              <w:t xml:space="preserve"> </w:t>
            </w:r>
            <w:r>
              <w:rPr>
                <w:rFonts w:cs="Calibri"/>
                <w:b/>
                <w:sz w:val="20"/>
                <w:szCs w:val="20"/>
              </w:rPr>
              <w:t>centralnego</w:t>
            </w:r>
            <w:r w:rsidRPr="00034B1F">
              <w:rPr>
                <w:rFonts w:cs="Calibri"/>
                <w:b/>
                <w:sz w:val="20"/>
                <w:szCs w:val="20"/>
              </w:rPr>
              <w:t xml:space="preserve"> system</w:t>
            </w:r>
            <w:r>
              <w:rPr>
                <w:rFonts w:cs="Calibri"/>
                <w:b/>
                <w:sz w:val="20"/>
                <w:szCs w:val="20"/>
              </w:rPr>
              <w:t>u</w:t>
            </w:r>
            <w:r w:rsidRPr="00034B1F">
              <w:rPr>
                <w:rFonts w:cs="Calibri"/>
                <w:b/>
                <w:sz w:val="20"/>
                <w:szCs w:val="20"/>
              </w:rPr>
              <w:t xml:space="preserve"> logowania i raportowania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4B1F" w:rsidRPr="001D5522" w:rsidRDefault="00034B1F" w:rsidP="00034B1F">
            <w:pPr>
              <w:spacing w:after="0" w:line="240" w:lineRule="auto"/>
              <w:rPr>
                <w:color w:val="000000"/>
              </w:rPr>
            </w:pPr>
          </w:p>
        </w:tc>
      </w:tr>
      <w:tr w:rsidR="00034B1F" w:rsidRPr="001D5522" w:rsidTr="0013490E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4B1F" w:rsidRDefault="00034B1F" w:rsidP="00034B1F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16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4B1F" w:rsidRPr="001D5522" w:rsidRDefault="00A54051" w:rsidP="00034B1F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Licencja i wsparcie techniczne centralnego</w:t>
            </w:r>
            <w:r w:rsidRPr="00034B1F">
              <w:rPr>
                <w:rFonts w:cs="Calibri"/>
                <w:b/>
                <w:sz w:val="20"/>
                <w:szCs w:val="20"/>
              </w:rPr>
              <w:t xml:space="preserve"> system</w:t>
            </w:r>
            <w:r>
              <w:rPr>
                <w:rFonts w:cs="Calibri"/>
                <w:b/>
                <w:sz w:val="20"/>
                <w:szCs w:val="20"/>
              </w:rPr>
              <w:t>u</w:t>
            </w:r>
            <w:r w:rsidRPr="00034B1F">
              <w:rPr>
                <w:rFonts w:cs="Calibri"/>
                <w:b/>
                <w:sz w:val="20"/>
                <w:szCs w:val="20"/>
              </w:rPr>
              <w:t xml:space="preserve"> logowania i raportowania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4B1F" w:rsidRPr="001D5522" w:rsidRDefault="00034B1F" w:rsidP="00034B1F">
            <w:pPr>
              <w:spacing w:after="0" w:line="240" w:lineRule="auto"/>
              <w:rPr>
                <w:color w:val="000000"/>
              </w:rPr>
            </w:pPr>
          </w:p>
        </w:tc>
      </w:tr>
      <w:tr w:rsidR="00034B1F" w:rsidRPr="001D5522" w:rsidTr="0013490E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4B1F" w:rsidRDefault="00034B1F" w:rsidP="00034B1F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17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4B1F" w:rsidRPr="001D5522" w:rsidRDefault="00A54051" w:rsidP="00A54051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Wielkość logów jakie centralny system logowania i raportowania jest w stanie przeanalizować dziennie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4B1F" w:rsidRPr="001D5522" w:rsidRDefault="00034B1F" w:rsidP="00034B1F">
            <w:pPr>
              <w:spacing w:after="0" w:line="240" w:lineRule="auto"/>
              <w:rPr>
                <w:color w:val="000000"/>
              </w:rPr>
            </w:pPr>
          </w:p>
        </w:tc>
      </w:tr>
      <w:tr w:rsidR="00A54051" w:rsidRPr="001D5522" w:rsidTr="0013490E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4051" w:rsidRDefault="00A54051" w:rsidP="00034B1F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18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4051" w:rsidRPr="001D5522" w:rsidRDefault="00A54051" w:rsidP="00034B1F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Możliwe zabezpieczenia przesyłania logów i raportów do platformy centralnego</w:t>
            </w:r>
            <w:r w:rsidRPr="00034B1F">
              <w:rPr>
                <w:rFonts w:cs="Calibri"/>
                <w:b/>
                <w:sz w:val="20"/>
                <w:szCs w:val="20"/>
              </w:rPr>
              <w:t xml:space="preserve"> system</w:t>
            </w:r>
            <w:r>
              <w:rPr>
                <w:rFonts w:cs="Calibri"/>
                <w:b/>
                <w:sz w:val="20"/>
                <w:szCs w:val="20"/>
              </w:rPr>
              <w:t>u</w:t>
            </w:r>
            <w:r w:rsidRPr="00034B1F">
              <w:rPr>
                <w:rFonts w:cs="Calibri"/>
                <w:b/>
                <w:sz w:val="20"/>
                <w:szCs w:val="20"/>
              </w:rPr>
              <w:t xml:space="preserve"> logowania i raportowania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4051" w:rsidRPr="001D5522" w:rsidRDefault="00A54051" w:rsidP="00034B1F">
            <w:pPr>
              <w:spacing w:after="0" w:line="240" w:lineRule="auto"/>
              <w:rPr>
                <w:color w:val="000000"/>
              </w:rPr>
            </w:pPr>
          </w:p>
        </w:tc>
      </w:tr>
      <w:tr w:rsidR="00A54051" w:rsidRPr="001D5522" w:rsidTr="0013490E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4051" w:rsidRDefault="00A54051" w:rsidP="00034B1F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19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4051" w:rsidRPr="001D5522" w:rsidRDefault="00A54051" w:rsidP="00034B1F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Rodzaje danych zbieranych przez centralny</w:t>
            </w:r>
            <w:r w:rsidRPr="00034B1F">
              <w:rPr>
                <w:rFonts w:cs="Calibri"/>
                <w:b/>
                <w:sz w:val="20"/>
                <w:szCs w:val="20"/>
              </w:rPr>
              <w:t xml:space="preserve"> system logowania</w:t>
            </w:r>
            <w:r>
              <w:rPr>
                <w:rFonts w:cs="Calibri"/>
                <w:b/>
                <w:sz w:val="20"/>
                <w:szCs w:val="20"/>
              </w:rPr>
              <w:t xml:space="preserve"> i raportowania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4051" w:rsidRPr="001D5522" w:rsidRDefault="00A54051" w:rsidP="00034B1F">
            <w:pPr>
              <w:spacing w:after="0" w:line="240" w:lineRule="auto"/>
              <w:rPr>
                <w:color w:val="000000"/>
              </w:rPr>
            </w:pPr>
          </w:p>
        </w:tc>
      </w:tr>
      <w:tr w:rsidR="00034B1F" w:rsidRPr="001D5522" w:rsidTr="0013490E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4B1F" w:rsidRPr="001F212C" w:rsidRDefault="009D4F71" w:rsidP="00034B1F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20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4B1F" w:rsidRPr="001D5522" w:rsidRDefault="00A54051" w:rsidP="00034B1F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Możliwość wysyłania logów do serwera SYSLOG przez platformę centralnego</w:t>
            </w:r>
            <w:r w:rsidRPr="00034B1F">
              <w:rPr>
                <w:rFonts w:cs="Calibri"/>
                <w:b/>
                <w:sz w:val="20"/>
                <w:szCs w:val="20"/>
              </w:rPr>
              <w:t xml:space="preserve"> system</w:t>
            </w:r>
            <w:r>
              <w:rPr>
                <w:rFonts w:cs="Calibri"/>
                <w:b/>
                <w:sz w:val="20"/>
                <w:szCs w:val="20"/>
              </w:rPr>
              <w:t>u</w:t>
            </w:r>
            <w:r w:rsidRPr="00034B1F">
              <w:rPr>
                <w:rFonts w:cs="Calibri"/>
                <w:b/>
                <w:sz w:val="20"/>
                <w:szCs w:val="20"/>
              </w:rPr>
              <w:t xml:space="preserve"> logowania</w:t>
            </w:r>
            <w:r>
              <w:rPr>
                <w:rFonts w:cs="Calibri"/>
                <w:b/>
                <w:sz w:val="20"/>
                <w:szCs w:val="20"/>
              </w:rPr>
              <w:t xml:space="preserve"> i raportowania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34B1F" w:rsidRPr="001D5522" w:rsidRDefault="00034B1F" w:rsidP="00034B1F">
            <w:pPr>
              <w:spacing w:after="0" w:line="240" w:lineRule="auto"/>
              <w:rPr>
                <w:color w:val="000000"/>
              </w:rPr>
            </w:pPr>
          </w:p>
        </w:tc>
      </w:tr>
    </w:tbl>
    <w:p w:rsidR="004702E0" w:rsidRDefault="004702E0"/>
    <w:p w:rsidR="00A1100B" w:rsidRDefault="00A1100B" w:rsidP="001209CE">
      <w:pPr>
        <w:rPr>
          <w:rFonts w:ascii="Arial" w:eastAsia="Times New Roman" w:hAnsi="Arial" w:cs="Arial"/>
          <w:b/>
          <w:color w:val="000000"/>
          <w:sz w:val="36"/>
          <w:szCs w:val="36"/>
        </w:rPr>
      </w:pPr>
    </w:p>
    <w:p w:rsidR="002F4AF2" w:rsidRDefault="002F4AF2" w:rsidP="002F4AF2"/>
    <w:p w:rsidR="002F4AF2" w:rsidRDefault="002F4AF2" w:rsidP="002F4AF2"/>
    <w:p w:rsidR="002F4AF2" w:rsidRDefault="002F4AF2" w:rsidP="002F4AF2">
      <w:pPr>
        <w:suppressAutoHyphens w:val="0"/>
        <w:overflowPunct w:val="0"/>
        <w:autoSpaceDE w:val="0"/>
        <w:autoSpaceDN w:val="0"/>
        <w:adjustRightInd w:val="0"/>
        <w:spacing w:after="0" w:line="360" w:lineRule="auto"/>
        <w:ind w:left="4253"/>
        <w:textAlignment w:val="baseline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………........................................................</w:t>
      </w:r>
    </w:p>
    <w:p w:rsidR="002F4AF2" w:rsidRDefault="002F4AF2" w:rsidP="002F4AF2">
      <w:pPr>
        <w:ind w:left="4253"/>
        <w:rPr>
          <w:rFonts w:ascii="Arial" w:eastAsia="Times New Roman" w:hAnsi="Arial" w:cs="Arial"/>
          <w:b/>
          <w:color w:val="000000"/>
          <w:sz w:val="32"/>
          <w:szCs w:val="32"/>
        </w:rPr>
      </w:pPr>
      <w:r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   (czytelny podpis Wykonawcy lub osoby/osób upoważnionych </w:t>
      </w:r>
      <w:r>
        <w:rPr>
          <w:rFonts w:ascii="Tahoma" w:eastAsia="Times New Roman" w:hAnsi="Tahoma" w:cs="Tahoma"/>
          <w:i/>
          <w:sz w:val="16"/>
          <w:szCs w:val="16"/>
          <w:lang w:eastAsia="pl-PL"/>
        </w:rPr>
        <w:br/>
        <w:t xml:space="preserve">       do reprezentowania Wykonawcy lub podpis i pieczęć)</w:t>
      </w:r>
      <w:r>
        <w:rPr>
          <w:rFonts w:ascii="Verdana" w:eastAsia="Times New Roman" w:hAnsi="Verdana"/>
          <w:sz w:val="20"/>
          <w:szCs w:val="24"/>
          <w:lang w:eastAsia="pl-PL"/>
        </w:rPr>
        <w:t xml:space="preserve">  </w:t>
      </w:r>
    </w:p>
    <w:p w:rsidR="002F4AF2" w:rsidRDefault="002F4AF2" w:rsidP="002F4AF2">
      <w:pPr>
        <w:rPr>
          <w:rFonts w:ascii="Arial" w:eastAsia="Times New Roman" w:hAnsi="Arial" w:cs="Arial"/>
          <w:b/>
          <w:color w:val="000000"/>
          <w:sz w:val="32"/>
          <w:szCs w:val="32"/>
        </w:rPr>
      </w:pPr>
    </w:p>
    <w:p w:rsidR="002F4AF2" w:rsidRDefault="002F4AF2" w:rsidP="002F4AF2">
      <w:pPr>
        <w:rPr>
          <w:rFonts w:ascii="Arial" w:eastAsia="Times New Roman" w:hAnsi="Arial" w:cs="Arial"/>
          <w:b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32"/>
          <w:szCs w:val="32"/>
        </w:rPr>
        <w:t xml:space="preserve">UWAGA: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zobowiązuje się wykonawcę do złożenia podpisu na każdej stronie oferty.</w:t>
      </w:r>
    </w:p>
    <w:p w:rsidR="00A1100B" w:rsidRDefault="00A1100B" w:rsidP="001209CE">
      <w:pPr>
        <w:rPr>
          <w:rFonts w:ascii="Arial" w:eastAsia="Times New Roman" w:hAnsi="Arial" w:cs="Arial"/>
          <w:b/>
          <w:color w:val="000000"/>
          <w:sz w:val="36"/>
          <w:szCs w:val="36"/>
        </w:rPr>
      </w:pPr>
      <w:bookmarkStart w:id="0" w:name="_GoBack"/>
      <w:bookmarkEnd w:id="0"/>
    </w:p>
    <w:p w:rsidR="00A1100B" w:rsidRDefault="00A1100B" w:rsidP="001209CE">
      <w:pPr>
        <w:rPr>
          <w:rFonts w:ascii="Arial" w:eastAsia="Times New Roman" w:hAnsi="Arial" w:cs="Arial"/>
          <w:b/>
          <w:color w:val="000000"/>
          <w:sz w:val="36"/>
          <w:szCs w:val="36"/>
        </w:rPr>
      </w:pPr>
    </w:p>
    <w:p w:rsidR="00A1100B" w:rsidRDefault="00A1100B" w:rsidP="001209CE">
      <w:pPr>
        <w:rPr>
          <w:rFonts w:ascii="Arial" w:eastAsia="Times New Roman" w:hAnsi="Arial" w:cs="Arial"/>
          <w:b/>
          <w:color w:val="000000"/>
          <w:sz w:val="36"/>
          <w:szCs w:val="36"/>
        </w:rPr>
      </w:pPr>
    </w:p>
    <w:p w:rsidR="00A1100B" w:rsidRDefault="00A1100B" w:rsidP="001209CE">
      <w:pPr>
        <w:rPr>
          <w:rFonts w:ascii="Arial" w:eastAsia="Times New Roman" w:hAnsi="Arial" w:cs="Arial"/>
          <w:b/>
          <w:color w:val="000000"/>
          <w:sz w:val="36"/>
          <w:szCs w:val="36"/>
        </w:rPr>
      </w:pPr>
    </w:p>
    <w:p w:rsidR="00A1100B" w:rsidRDefault="00A1100B" w:rsidP="001209CE">
      <w:pPr>
        <w:rPr>
          <w:rFonts w:ascii="Arial" w:eastAsia="Times New Roman" w:hAnsi="Arial" w:cs="Arial"/>
          <w:b/>
          <w:color w:val="000000"/>
          <w:sz w:val="36"/>
          <w:szCs w:val="36"/>
        </w:rPr>
      </w:pPr>
    </w:p>
    <w:p w:rsidR="00A1100B" w:rsidRDefault="00A1100B" w:rsidP="001209CE">
      <w:pPr>
        <w:rPr>
          <w:rFonts w:ascii="Arial" w:eastAsia="Times New Roman" w:hAnsi="Arial" w:cs="Arial"/>
          <w:b/>
          <w:color w:val="000000"/>
          <w:sz w:val="36"/>
          <w:szCs w:val="36"/>
        </w:rPr>
      </w:pPr>
    </w:p>
    <w:p w:rsidR="00A1100B" w:rsidRDefault="00A1100B" w:rsidP="001209CE">
      <w:pPr>
        <w:rPr>
          <w:rFonts w:ascii="Arial" w:eastAsia="Times New Roman" w:hAnsi="Arial" w:cs="Arial"/>
          <w:b/>
          <w:color w:val="000000"/>
          <w:sz w:val="36"/>
          <w:szCs w:val="36"/>
        </w:rPr>
      </w:pPr>
    </w:p>
    <w:sectPr w:rsidR="00A110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1EE" w:rsidRDefault="00A851EE" w:rsidP="00807841">
      <w:pPr>
        <w:spacing w:after="0" w:line="240" w:lineRule="auto"/>
      </w:pPr>
      <w:r>
        <w:separator/>
      </w:r>
    </w:p>
  </w:endnote>
  <w:endnote w:type="continuationSeparator" w:id="0">
    <w:p w:rsidR="00A851EE" w:rsidRDefault="00A851EE" w:rsidP="00807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1EE" w:rsidRDefault="00A851EE" w:rsidP="00807841">
      <w:pPr>
        <w:spacing w:after="0" w:line="240" w:lineRule="auto"/>
      </w:pPr>
      <w:r>
        <w:separator/>
      </w:r>
    </w:p>
  </w:footnote>
  <w:footnote w:type="continuationSeparator" w:id="0">
    <w:p w:rsidR="00A851EE" w:rsidRDefault="00A851EE" w:rsidP="008078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lang w:val="en-US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5C"/>
    <w:multiLevelType w:val="singleLevel"/>
    <w:tmpl w:val="FEDCCD4E"/>
    <w:name w:val="WW8Num92"/>
    <w:lvl w:ilvl="0">
      <w:start w:val="1"/>
      <w:numFmt w:val="decimal"/>
      <w:pStyle w:val="Nagwek1"/>
      <w:lvlText w:val="%1."/>
      <w:lvlJc w:val="left"/>
      <w:pPr>
        <w:tabs>
          <w:tab w:val="num" w:pos="426"/>
        </w:tabs>
        <w:ind w:left="786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09C"/>
    <w:rsid w:val="00034B1F"/>
    <w:rsid w:val="001209CE"/>
    <w:rsid w:val="001D5522"/>
    <w:rsid w:val="001F11D7"/>
    <w:rsid w:val="001F212C"/>
    <w:rsid w:val="002720FC"/>
    <w:rsid w:val="00290FA8"/>
    <w:rsid w:val="002F4AF2"/>
    <w:rsid w:val="004702E0"/>
    <w:rsid w:val="008059AC"/>
    <w:rsid w:val="00807841"/>
    <w:rsid w:val="0084735F"/>
    <w:rsid w:val="009D4F71"/>
    <w:rsid w:val="00A1100B"/>
    <w:rsid w:val="00A54051"/>
    <w:rsid w:val="00A540B2"/>
    <w:rsid w:val="00A851EE"/>
    <w:rsid w:val="00A9045A"/>
    <w:rsid w:val="00C03245"/>
    <w:rsid w:val="00D8109C"/>
    <w:rsid w:val="00E538F0"/>
    <w:rsid w:val="00E900BA"/>
    <w:rsid w:val="00EE11DF"/>
    <w:rsid w:val="00F01E4B"/>
    <w:rsid w:val="00FB0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CE591F-F9EC-4407-B444-05E13E142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09CE"/>
    <w:pPr>
      <w:suppressAutoHyphens/>
      <w:spacing w:line="254" w:lineRule="auto"/>
    </w:pPr>
    <w:rPr>
      <w:rFonts w:ascii="Calibri" w:eastAsia="Calibri" w:hAnsi="Calibri" w:cs="Times New Roman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84735F"/>
    <w:pPr>
      <w:keepNext/>
      <w:numPr>
        <w:numId w:val="1"/>
      </w:numPr>
      <w:tabs>
        <w:tab w:val="num" w:pos="0"/>
      </w:tabs>
      <w:spacing w:before="240" w:after="120" w:line="276" w:lineRule="auto"/>
      <w:ind w:left="360"/>
      <w:outlineLvl w:val="0"/>
    </w:pPr>
    <w:rPr>
      <w:rFonts w:ascii="Arial" w:eastAsia="Microsoft YaHei" w:hAnsi="Arial" w:cs="Mang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735F"/>
    <w:rPr>
      <w:rFonts w:ascii="Arial" w:eastAsia="Microsoft YaHei" w:hAnsi="Arial" w:cs="Mangal"/>
      <w:b/>
      <w:bCs/>
      <w:sz w:val="32"/>
      <w:szCs w:val="32"/>
      <w:lang w:eastAsia="ar-SA"/>
    </w:rPr>
  </w:style>
  <w:style w:type="character" w:styleId="Hipercze">
    <w:name w:val="Hyperlink"/>
    <w:rsid w:val="0084735F"/>
    <w:rPr>
      <w:color w:val="000080"/>
      <w:u w:val="single"/>
    </w:rPr>
  </w:style>
  <w:style w:type="paragraph" w:styleId="Akapitzlist">
    <w:name w:val="List Paragraph"/>
    <w:basedOn w:val="Normalny"/>
    <w:uiPriority w:val="34"/>
    <w:qFormat/>
    <w:rsid w:val="0084735F"/>
    <w:pPr>
      <w:spacing w:after="200" w:line="276" w:lineRule="auto"/>
      <w:ind w:left="720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4735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4735F"/>
    <w:rPr>
      <w:rFonts w:ascii="Calibri" w:eastAsia="Calibri" w:hAnsi="Calibri" w:cs="Times New Roman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784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07841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07841"/>
    <w:rPr>
      <w:vertAlign w:val="superscript"/>
    </w:rPr>
  </w:style>
  <w:style w:type="table" w:styleId="Tabela-Siatka">
    <w:name w:val="Table Grid"/>
    <w:basedOn w:val="Standardowy"/>
    <w:uiPriority w:val="39"/>
    <w:rsid w:val="00E900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70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285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Pierwszy</cp:lastModifiedBy>
  <cp:revision>5</cp:revision>
  <dcterms:created xsi:type="dcterms:W3CDTF">2020-11-13T13:43:00Z</dcterms:created>
  <dcterms:modified xsi:type="dcterms:W3CDTF">2020-11-13T15:48:00Z</dcterms:modified>
</cp:coreProperties>
</file>